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97AF" w14:textId="77777777" w:rsidR="00123E48" w:rsidRDefault="000C4277" w:rsidP="00F63CFC">
      <w:pPr>
        <w:shd w:val="clear" w:color="auto" w:fill="0B769F" w:themeFill="accent4" w:themeFillShade="BF"/>
        <w:rPr>
          <w:b/>
          <w:bCs/>
          <w:color w:val="FFFFFF" w:themeColor="background1"/>
          <w:sz w:val="36"/>
          <w:szCs w:val="36"/>
        </w:rPr>
      </w:pPr>
      <w:r>
        <w:rPr>
          <w:b/>
          <w:bCs/>
          <w:color w:val="FFFFFF" w:themeColor="background1"/>
          <w:sz w:val="36"/>
          <w:szCs w:val="36"/>
        </w:rPr>
        <w:t xml:space="preserve">Department for Education - </w:t>
      </w:r>
      <w:r w:rsidRPr="00F63CFC">
        <w:rPr>
          <w:b/>
          <w:bCs/>
          <w:color w:val="FFFFFF" w:themeColor="background1"/>
          <w:sz w:val="36"/>
          <w:szCs w:val="36"/>
        </w:rPr>
        <w:t xml:space="preserve">SEND Reform: </w:t>
      </w:r>
      <w:r>
        <w:rPr>
          <w:b/>
          <w:bCs/>
          <w:color w:val="FFFFFF" w:themeColor="background1"/>
          <w:sz w:val="36"/>
          <w:szCs w:val="36"/>
        </w:rPr>
        <w:t>‘</w:t>
      </w:r>
      <w:r w:rsidRPr="00F63CFC">
        <w:rPr>
          <w:b/>
          <w:bCs/>
          <w:color w:val="FFFFFF" w:themeColor="background1"/>
          <w:sz w:val="36"/>
          <w:szCs w:val="36"/>
        </w:rPr>
        <w:t>Putting Children and Young People First</w:t>
      </w:r>
      <w:r>
        <w:rPr>
          <w:b/>
          <w:bCs/>
          <w:color w:val="FFFFFF" w:themeColor="background1"/>
          <w:sz w:val="36"/>
          <w:szCs w:val="36"/>
        </w:rPr>
        <w:t>’</w:t>
      </w:r>
      <w:r w:rsidR="00F63CFC">
        <w:rPr>
          <w:b/>
          <w:bCs/>
          <w:color w:val="FFFFFF" w:themeColor="background1"/>
          <w:sz w:val="36"/>
          <w:szCs w:val="36"/>
        </w:rPr>
        <w:t xml:space="preserve"> </w:t>
      </w:r>
    </w:p>
    <w:p w14:paraId="583F950A" w14:textId="7D9FF3EB" w:rsidR="006E34D7" w:rsidRDefault="00F63CFC" w:rsidP="00F63CFC">
      <w:pPr>
        <w:shd w:val="clear" w:color="auto" w:fill="0B769F" w:themeFill="accent4" w:themeFillShade="BF"/>
        <w:rPr>
          <w:b/>
          <w:bCs/>
          <w:color w:val="FFFFFF" w:themeColor="background1"/>
          <w:sz w:val="36"/>
          <w:szCs w:val="36"/>
        </w:rPr>
      </w:pPr>
      <w:r>
        <w:rPr>
          <w:b/>
          <w:bCs/>
          <w:color w:val="FFFFFF" w:themeColor="background1"/>
          <w:sz w:val="36"/>
          <w:szCs w:val="36"/>
        </w:rPr>
        <w:t>Consultation</w:t>
      </w:r>
      <w:r w:rsidR="00123E48">
        <w:rPr>
          <w:b/>
          <w:bCs/>
          <w:color w:val="FFFFFF" w:themeColor="background1"/>
          <w:sz w:val="36"/>
          <w:szCs w:val="36"/>
        </w:rPr>
        <w:t xml:space="preserve"> </w:t>
      </w:r>
      <w:r w:rsidR="006E34D7">
        <w:rPr>
          <w:b/>
          <w:bCs/>
          <w:color w:val="FFFFFF" w:themeColor="background1"/>
          <w:sz w:val="36"/>
          <w:szCs w:val="36"/>
        </w:rPr>
        <w:t>Summary</w:t>
      </w:r>
    </w:p>
    <w:p w14:paraId="2A014AA3" w14:textId="77777777" w:rsidR="00F63CFC" w:rsidRPr="00F63CFC" w:rsidRDefault="00F63CFC" w:rsidP="00F63CFC">
      <w:pPr>
        <w:shd w:val="clear" w:color="auto" w:fill="0B769F" w:themeFill="accent4" w:themeFillShade="BF"/>
        <w:rPr>
          <w:b/>
          <w:bCs/>
          <w:color w:val="FFFFFF" w:themeColor="background1"/>
          <w:sz w:val="36"/>
          <w:szCs w:val="36"/>
        </w:rPr>
      </w:pPr>
    </w:p>
    <w:p w14:paraId="1430BBD6" w14:textId="77777777" w:rsidR="00F63CFC" w:rsidRPr="00F63CFC" w:rsidRDefault="00F63CFC" w:rsidP="00F63CFC">
      <w:pPr>
        <w:rPr>
          <w:sz w:val="22"/>
          <w:szCs w:val="22"/>
        </w:rPr>
      </w:pPr>
    </w:p>
    <w:p w14:paraId="552F8D4E" w14:textId="3C153220" w:rsidR="0009631B" w:rsidRPr="00F63CFC"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Executive Summary</w:t>
      </w:r>
    </w:p>
    <w:p w14:paraId="2344C138" w14:textId="77777777" w:rsidR="00F63CFC" w:rsidRPr="00F63CFC" w:rsidRDefault="00F63CFC" w:rsidP="00F63CFC">
      <w:pPr>
        <w:rPr>
          <w:b/>
          <w:bCs/>
          <w:sz w:val="22"/>
          <w:szCs w:val="22"/>
        </w:rPr>
      </w:pPr>
    </w:p>
    <w:p w14:paraId="706C4261" w14:textId="77777777" w:rsidR="00AB1BD8" w:rsidRDefault="001650F8" w:rsidP="00F63CFC">
      <w:pPr>
        <w:rPr>
          <w:sz w:val="22"/>
          <w:szCs w:val="22"/>
        </w:rPr>
      </w:pPr>
      <w:r w:rsidRPr="00F63CFC">
        <w:rPr>
          <w:sz w:val="22"/>
          <w:szCs w:val="22"/>
        </w:rPr>
        <w:t xml:space="preserve">The government has </w:t>
      </w:r>
      <w:hyperlink r:id="rId10" w:history="1">
        <w:r w:rsidR="0009631B" w:rsidRPr="006E34D7">
          <w:rPr>
            <w:rStyle w:val="Hyperlink"/>
            <w:sz w:val="22"/>
            <w:szCs w:val="22"/>
          </w:rPr>
          <w:t>published a major consultation</w:t>
        </w:r>
      </w:hyperlink>
      <w:r w:rsidRPr="00F63CFC">
        <w:rPr>
          <w:sz w:val="22"/>
          <w:szCs w:val="22"/>
        </w:rPr>
        <w:t xml:space="preserve"> proposing the most significant reform of the special educational needs and disabilities (SEND) system in a generation. </w:t>
      </w:r>
    </w:p>
    <w:p w14:paraId="79A45E01" w14:textId="77777777" w:rsidR="00AB1BD8" w:rsidRDefault="00AB1BD8" w:rsidP="00F63CFC">
      <w:pPr>
        <w:rPr>
          <w:sz w:val="22"/>
          <w:szCs w:val="22"/>
        </w:rPr>
      </w:pPr>
    </w:p>
    <w:p w14:paraId="1C4CD1A0" w14:textId="340E2AD0" w:rsidR="0009631B" w:rsidRDefault="001650F8" w:rsidP="00F63CFC">
      <w:pPr>
        <w:rPr>
          <w:sz w:val="22"/>
          <w:szCs w:val="22"/>
        </w:rPr>
      </w:pPr>
      <w:r w:rsidRPr="00F63CFC">
        <w:rPr>
          <w:sz w:val="22"/>
          <w:szCs w:val="22"/>
        </w:rPr>
        <w:t>The core shift is away from a binary 'E</w:t>
      </w:r>
      <w:r w:rsidR="00AB1BD8">
        <w:rPr>
          <w:sz w:val="22"/>
          <w:szCs w:val="22"/>
        </w:rPr>
        <w:t xml:space="preserve">ducation </w:t>
      </w:r>
      <w:r w:rsidRPr="00F63CFC">
        <w:rPr>
          <w:sz w:val="22"/>
          <w:szCs w:val="22"/>
        </w:rPr>
        <w:t>H</w:t>
      </w:r>
      <w:r w:rsidR="00AB1BD8">
        <w:rPr>
          <w:sz w:val="22"/>
          <w:szCs w:val="22"/>
        </w:rPr>
        <w:t xml:space="preserve">ealth and </w:t>
      </w:r>
      <w:r w:rsidRPr="00F63CFC">
        <w:rPr>
          <w:sz w:val="22"/>
          <w:szCs w:val="22"/>
        </w:rPr>
        <w:t>C</w:t>
      </w:r>
      <w:r w:rsidR="00AB1BD8">
        <w:rPr>
          <w:sz w:val="22"/>
          <w:szCs w:val="22"/>
        </w:rPr>
        <w:t xml:space="preserve">are </w:t>
      </w:r>
      <w:r w:rsidRPr="00F63CFC">
        <w:rPr>
          <w:sz w:val="22"/>
          <w:szCs w:val="22"/>
        </w:rPr>
        <w:t>P</w:t>
      </w:r>
      <w:r w:rsidR="00AB1BD8">
        <w:rPr>
          <w:sz w:val="22"/>
          <w:szCs w:val="22"/>
        </w:rPr>
        <w:t>lan (EHCP)</w:t>
      </w:r>
      <w:r w:rsidRPr="00F63CFC">
        <w:rPr>
          <w:sz w:val="22"/>
          <w:szCs w:val="22"/>
        </w:rPr>
        <w:t xml:space="preserve"> or nothing' model towards a single inclusive system with graduated levels of support — placing mainstream education at the centre</w:t>
      </w:r>
      <w:r w:rsidR="006E11FF">
        <w:rPr>
          <w:sz w:val="22"/>
          <w:szCs w:val="22"/>
        </w:rPr>
        <w:t>.</w:t>
      </w:r>
    </w:p>
    <w:p w14:paraId="0889AD81" w14:textId="77777777" w:rsidR="00F63CFC" w:rsidRPr="00F63CFC" w:rsidRDefault="00F63CFC" w:rsidP="00F63CFC">
      <w:pPr>
        <w:rPr>
          <w:sz w:val="22"/>
          <w:szCs w:val="22"/>
        </w:rPr>
      </w:pPr>
    </w:p>
    <w:p w14:paraId="58534ADE" w14:textId="77777777" w:rsidR="00211A05" w:rsidRDefault="006E11FF" w:rsidP="00F63CFC">
      <w:pPr>
        <w:rPr>
          <w:sz w:val="22"/>
          <w:szCs w:val="22"/>
        </w:rPr>
      </w:pPr>
      <w:r>
        <w:rPr>
          <w:sz w:val="22"/>
          <w:szCs w:val="22"/>
        </w:rPr>
        <w:t>A significant amount of funding</w:t>
      </w:r>
      <w:r w:rsidR="00211A05">
        <w:rPr>
          <w:sz w:val="22"/>
          <w:szCs w:val="22"/>
        </w:rPr>
        <w:t xml:space="preserve"> (o</w:t>
      </w:r>
      <w:r w:rsidRPr="00F63CFC">
        <w:rPr>
          <w:sz w:val="22"/>
          <w:szCs w:val="22"/>
        </w:rPr>
        <w:t>ver £7 billion</w:t>
      </w:r>
      <w:r w:rsidR="00211A05">
        <w:rPr>
          <w:sz w:val="22"/>
          <w:szCs w:val="22"/>
        </w:rPr>
        <w:t xml:space="preserve"> nationally)</w:t>
      </w:r>
      <w:r w:rsidRPr="00F63CFC">
        <w:rPr>
          <w:sz w:val="22"/>
          <w:szCs w:val="22"/>
        </w:rPr>
        <w:t xml:space="preserve"> has been committed in advance of legislative change, with the aim of building the conditions for reform before new statutory duties take effect. </w:t>
      </w:r>
    </w:p>
    <w:p w14:paraId="616E10C4" w14:textId="77777777" w:rsidR="00211A05" w:rsidRDefault="00211A05" w:rsidP="00F63CFC">
      <w:pPr>
        <w:rPr>
          <w:sz w:val="22"/>
          <w:szCs w:val="22"/>
        </w:rPr>
      </w:pPr>
    </w:p>
    <w:p w14:paraId="4A12A41E" w14:textId="0E6C07A5" w:rsidR="0009631B" w:rsidRDefault="001650F8" w:rsidP="00F63CFC">
      <w:pPr>
        <w:rPr>
          <w:sz w:val="22"/>
          <w:szCs w:val="22"/>
        </w:rPr>
      </w:pPr>
      <w:r w:rsidRPr="00F63CFC">
        <w:rPr>
          <w:sz w:val="22"/>
          <w:szCs w:val="22"/>
        </w:rPr>
        <w:t>Major changes to EHCPs and the statutory framework are expected later this decade, with full changeover by September 2030.</w:t>
      </w:r>
    </w:p>
    <w:p w14:paraId="22E3F699" w14:textId="77777777" w:rsidR="00F63CFC" w:rsidRPr="00F63CFC" w:rsidRDefault="00F63CFC" w:rsidP="00F63CFC">
      <w:pPr>
        <w:rPr>
          <w:sz w:val="22"/>
          <w:szCs w:val="22"/>
        </w:rPr>
      </w:pPr>
    </w:p>
    <w:p w14:paraId="482EE731" w14:textId="77777777" w:rsidR="0009631B" w:rsidRDefault="001650F8" w:rsidP="00F63CFC">
      <w:pPr>
        <w:rPr>
          <w:sz w:val="22"/>
          <w:szCs w:val="22"/>
        </w:rPr>
      </w:pPr>
      <w:r w:rsidRPr="00F63CFC">
        <w:rPr>
          <w:sz w:val="22"/>
          <w:szCs w:val="22"/>
        </w:rPr>
        <w:t>For local authorities, this means significant new responsibilities in commissioning, partnership working and capital investment, alongside reform of how SEND funding flows through the system.</w:t>
      </w:r>
    </w:p>
    <w:p w14:paraId="7346AAF2" w14:textId="77777777" w:rsidR="00F63CFC" w:rsidRDefault="00F63CFC" w:rsidP="00F63CFC">
      <w:pPr>
        <w:rPr>
          <w:sz w:val="22"/>
          <w:szCs w:val="22"/>
        </w:rPr>
      </w:pPr>
    </w:p>
    <w:p w14:paraId="398A221C" w14:textId="6750064F" w:rsidR="00F63CFC" w:rsidRPr="00F63CFC" w:rsidRDefault="00F63CFC" w:rsidP="00F63CFC">
      <w:pPr>
        <w:pStyle w:val="ListParagraph"/>
        <w:numPr>
          <w:ilvl w:val="0"/>
          <w:numId w:val="3"/>
        </w:numPr>
        <w:rPr>
          <w:sz w:val="22"/>
          <w:szCs w:val="22"/>
        </w:rPr>
      </w:pPr>
      <w:r w:rsidRPr="00F63CFC">
        <w:rPr>
          <w:sz w:val="22"/>
          <w:szCs w:val="22"/>
        </w:rPr>
        <w:t>The EHCP remains in place for all existing holders until at least September 2030 — no immediate change for current plan holders.</w:t>
      </w:r>
    </w:p>
    <w:p w14:paraId="034B5B13" w14:textId="4E810BFF" w:rsidR="00F63CFC" w:rsidRPr="00F63CFC" w:rsidRDefault="00F63CFC" w:rsidP="00F63CFC">
      <w:pPr>
        <w:pStyle w:val="ListParagraph"/>
        <w:numPr>
          <w:ilvl w:val="0"/>
          <w:numId w:val="3"/>
        </w:numPr>
        <w:rPr>
          <w:sz w:val="22"/>
          <w:szCs w:val="22"/>
        </w:rPr>
      </w:pPr>
      <w:r w:rsidRPr="00F63CFC">
        <w:rPr>
          <w:sz w:val="22"/>
          <w:szCs w:val="22"/>
        </w:rPr>
        <w:t>A new Individual Support Plan (ISP) will replace 'SEN support' for most children, without requiring statutory assessment.</w:t>
      </w:r>
    </w:p>
    <w:p w14:paraId="7CF1A5A4" w14:textId="2E516EEF" w:rsidR="00F63CFC" w:rsidRPr="00F63CFC" w:rsidRDefault="00F63CFC" w:rsidP="00F63CFC">
      <w:pPr>
        <w:pStyle w:val="ListParagraph"/>
        <w:numPr>
          <w:ilvl w:val="0"/>
          <w:numId w:val="3"/>
        </w:numPr>
        <w:rPr>
          <w:sz w:val="22"/>
          <w:szCs w:val="22"/>
        </w:rPr>
      </w:pPr>
      <w:r w:rsidRPr="00F63CFC">
        <w:rPr>
          <w:sz w:val="22"/>
          <w:szCs w:val="22"/>
        </w:rPr>
        <w:t>Local authorities will have new duties to commission Experts at Hand (specialist professionals in mainstream settings) and Inclusion Bases.</w:t>
      </w:r>
    </w:p>
    <w:p w14:paraId="5D6C7831" w14:textId="40E825F1" w:rsidR="00F63CFC" w:rsidRPr="00F63CFC" w:rsidRDefault="00F63CFC" w:rsidP="00F63CFC">
      <w:pPr>
        <w:pStyle w:val="ListParagraph"/>
        <w:numPr>
          <w:ilvl w:val="0"/>
          <w:numId w:val="3"/>
        </w:numPr>
        <w:rPr>
          <w:sz w:val="22"/>
          <w:szCs w:val="22"/>
        </w:rPr>
      </w:pPr>
      <w:r w:rsidRPr="00F63CFC">
        <w:rPr>
          <w:sz w:val="22"/>
          <w:szCs w:val="22"/>
        </w:rPr>
        <w:t>SEND funding will be rebalanced away from reactive, plan-led spending towards earlier, mainstream-based investment.</w:t>
      </w:r>
    </w:p>
    <w:p w14:paraId="254BEB0F" w14:textId="3533F55B" w:rsidR="00F63CFC" w:rsidRPr="00F63CFC" w:rsidRDefault="00F63CFC" w:rsidP="00F63CFC">
      <w:pPr>
        <w:pStyle w:val="ListParagraph"/>
        <w:numPr>
          <w:ilvl w:val="0"/>
          <w:numId w:val="3"/>
        </w:numPr>
        <w:rPr>
          <w:sz w:val="22"/>
          <w:szCs w:val="22"/>
        </w:rPr>
      </w:pPr>
      <w:r w:rsidRPr="00F63CFC">
        <w:rPr>
          <w:sz w:val="22"/>
          <w:szCs w:val="22"/>
        </w:rPr>
        <w:t>Local SEND partnerships across education, health and the council will be strengthened with clearer accountability.</w:t>
      </w:r>
    </w:p>
    <w:p w14:paraId="4D889B9D" w14:textId="018A3344" w:rsidR="00F63CFC" w:rsidRPr="00F63CFC" w:rsidRDefault="00F63CFC" w:rsidP="00F63CFC">
      <w:pPr>
        <w:pStyle w:val="ListParagraph"/>
        <w:numPr>
          <w:ilvl w:val="0"/>
          <w:numId w:val="3"/>
        </w:numPr>
        <w:rPr>
          <w:sz w:val="22"/>
          <w:szCs w:val="22"/>
        </w:rPr>
      </w:pPr>
      <w:r w:rsidRPr="00F63CFC">
        <w:rPr>
          <w:sz w:val="22"/>
          <w:szCs w:val="22"/>
        </w:rPr>
        <w:t xml:space="preserve">The </w:t>
      </w:r>
      <w:hyperlink r:id="rId11" w:history="1">
        <w:r w:rsidRPr="0079361A">
          <w:rPr>
            <w:rStyle w:val="Hyperlink"/>
            <w:sz w:val="22"/>
            <w:szCs w:val="22"/>
          </w:rPr>
          <w:t>consultation is open</w:t>
        </w:r>
      </w:hyperlink>
      <w:r w:rsidRPr="00F63CFC">
        <w:rPr>
          <w:sz w:val="22"/>
          <w:szCs w:val="22"/>
        </w:rPr>
        <w:t xml:space="preserve"> for responses</w:t>
      </w:r>
      <w:r w:rsidR="0079361A">
        <w:rPr>
          <w:sz w:val="22"/>
          <w:szCs w:val="22"/>
        </w:rPr>
        <w:t xml:space="preserve"> until 18 May.</w:t>
      </w:r>
    </w:p>
    <w:p w14:paraId="4A6829E7" w14:textId="77777777" w:rsidR="0009631B" w:rsidRPr="00F63CFC" w:rsidRDefault="0009631B" w:rsidP="00F63CFC">
      <w:pPr>
        <w:rPr>
          <w:sz w:val="22"/>
          <w:szCs w:val="22"/>
        </w:rPr>
      </w:pPr>
    </w:p>
    <w:p w14:paraId="6FD00167" w14:textId="77777777" w:rsidR="00925124" w:rsidRDefault="00925124" w:rsidP="00F63CFC">
      <w:pPr>
        <w:rPr>
          <w:b/>
          <w:bCs/>
          <w:color w:val="0B769F" w:themeColor="accent4" w:themeShade="BF"/>
          <w:sz w:val="28"/>
          <w:szCs w:val="28"/>
          <w:u w:val="single"/>
        </w:rPr>
      </w:pPr>
    </w:p>
    <w:p w14:paraId="3CE0B37C" w14:textId="19807332"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Key Dates and Timeline</w:t>
      </w:r>
    </w:p>
    <w:p w14:paraId="222EC7FE" w14:textId="77777777" w:rsidR="00F63CFC" w:rsidRDefault="00F63CFC" w:rsidP="00F63CFC">
      <w:pPr>
        <w:rPr>
          <w:b/>
          <w:bCs/>
          <w:color w:val="0B769F" w:themeColor="accent4" w:themeShade="BF"/>
          <w:sz w:val="28"/>
          <w:szCs w:val="28"/>
          <w:u w:val="singl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F63CFC" w:rsidRPr="00F63CFC" w14:paraId="67B521BD" w14:textId="77777777" w:rsidTr="00614971">
        <w:tc>
          <w:tcPr>
            <w:tcW w:w="22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7C4F89F" w14:textId="77777777" w:rsidR="00F63CFC" w:rsidRPr="00F63CFC" w:rsidRDefault="00F63CFC">
            <w:pPr>
              <w:rPr>
                <w:sz w:val="22"/>
                <w:szCs w:val="22"/>
              </w:rPr>
            </w:pPr>
            <w:r w:rsidRPr="00F63CFC">
              <w:rPr>
                <w:b/>
                <w:bCs/>
                <w:sz w:val="22"/>
                <w:szCs w:val="22"/>
              </w:rPr>
              <w:t>2026–27 onwards</w:t>
            </w:r>
          </w:p>
        </w:tc>
        <w:tc>
          <w:tcPr>
            <w:tcW w:w="6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F97AF3" w14:textId="77777777" w:rsidR="00B95476" w:rsidRDefault="00F63CFC">
            <w:pPr>
              <w:rPr>
                <w:sz w:val="22"/>
                <w:szCs w:val="22"/>
              </w:rPr>
            </w:pPr>
            <w:r w:rsidRPr="00F63CFC">
              <w:rPr>
                <w:sz w:val="22"/>
                <w:szCs w:val="22"/>
              </w:rPr>
              <w:t xml:space="preserve">£1.6bn Inclusive Mainstream Fund begins. </w:t>
            </w:r>
          </w:p>
          <w:p w14:paraId="61519CE8" w14:textId="77777777" w:rsidR="00B95476" w:rsidRDefault="00F63CFC">
            <w:pPr>
              <w:rPr>
                <w:sz w:val="22"/>
                <w:szCs w:val="22"/>
              </w:rPr>
            </w:pPr>
            <w:r w:rsidRPr="00F63CFC">
              <w:rPr>
                <w:sz w:val="22"/>
                <w:szCs w:val="22"/>
              </w:rPr>
              <w:t xml:space="preserve">National Inclusion Standards published. </w:t>
            </w:r>
          </w:p>
          <w:p w14:paraId="1E55A7CB" w14:textId="77777777" w:rsidR="00B95476" w:rsidRDefault="00F63CFC">
            <w:pPr>
              <w:rPr>
                <w:sz w:val="22"/>
                <w:szCs w:val="22"/>
              </w:rPr>
            </w:pPr>
            <w:r w:rsidRPr="00F63CFC">
              <w:rPr>
                <w:sz w:val="22"/>
                <w:szCs w:val="22"/>
              </w:rPr>
              <w:t xml:space="preserve">Experts at Hand roll-out starts. </w:t>
            </w:r>
          </w:p>
          <w:p w14:paraId="07DBF343" w14:textId="77777777" w:rsidR="00F63CFC" w:rsidRDefault="00F63CFC">
            <w:pPr>
              <w:rPr>
                <w:sz w:val="22"/>
                <w:szCs w:val="22"/>
              </w:rPr>
            </w:pPr>
            <w:r w:rsidRPr="00F63CFC">
              <w:rPr>
                <w:sz w:val="22"/>
                <w:szCs w:val="22"/>
              </w:rPr>
              <w:t>Capital investment in Inclusion Bases.</w:t>
            </w:r>
          </w:p>
          <w:p w14:paraId="5A82D1BD" w14:textId="0E5473FD" w:rsidR="00B95476" w:rsidRPr="00F63CFC" w:rsidRDefault="00B95476">
            <w:pPr>
              <w:rPr>
                <w:sz w:val="22"/>
                <w:szCs w:val="22"/>
              </w:rPr>
            </w:pPr>
            <w:r>
              <w:rPr>
                <w:sz w:val="22"/>
                <w:szCs w:val="22"/>
              </w:rPr>
              <w:t xml:space="preserve">(the amount per Local Area is yet to be </w:t>
            </w:r>
            <w:r w:rsidR="007E35DD">
              <w:rPr>
                <w:sz w:val="22"/>
                <w:szCs w:val="22"/>
              </w:rPr>
              <w:t>agreed)</w:t>
            </w:r>
          </w:p>
        </w:tc>
      </w:tr>
      <w:tr w:rsidR="00F63CFC" w:rsidRPr="00F63CFC" w14:paraId="47ED3167"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DC46F3" w14:textId="77777777" w:rsidR="00F63CFC" w:rsidRPr="00F63CFC" w:rsidRDefault="00F63CFC">
            <w:pPr>
              <w:rPr>
                <w:sz w:val="22"/>
                <w:szCs w:val="22"/>
              </w:rPr>
            </w:pPr>
            <w:r w:rsidRPr="00F63CFC">
              <w:rPr>
                <w:b/>
                <w:bCs/>
                <w:sz w:val="22"/>
                <w:szCs w:val="22"/>
              </w:rPr>
              <w:t>By September 2029</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38992D" w14:textId="77777777" w:rsidR="007E35DD" w:rsidRDefault="00F63CFC">
            <w:pPr>
              <w:rPr>
                <w:sz w:val="22"/>
                <w:szCs w:val="22"/>
              </w:rPr>
            </w:pPr>
            <w:r w:rsidRPr="00F63CFC">
              <w:rPr>
                <w:sz w:val="22"/>
                <w:szCs w:val="22"/>
              </w:rPr>
              <w:t xml:space="preserve">Transition-point reviews begin. </w:t>
            </w:r>
          </w:p>
          <w:p w14:paraId="5F9A9258" w14:textId="58F265CF" w:rsidR="00F63CFC" w:rsidRPr="00F63CFC" w:rsidRDefault="00F63CFC">
            <w:pPr>
              <w:rPr>
                <w:sz w:val="22"/>
                <w:szCs w:val="22"/>
              </w:rPr>
            </w:pPr>
            <w:r w:rsidRPr="00F63CFC">
              <w:rPr>
                <w:sz w:val="22"/>
                <w:szCs w:val="22"/>
              </w:rPr>
              <w:t>At key transitions (end of primary, secondary and post-16), children are assessed for either a new Specialist EHCP or an Individual Support Plan (ISP).</w:t>
            </w:r>
          </w:p>
        </w:tc>
      </w:tr>
      <w:tr w:rsidR="00F63CFC" w:rsidRPr="00F63CFC" w14:paraId="13A516BD" w14:textId="77777777" w:rsidTr="00614971">
        <w:tc>
          <w:tcPr>
            <w:tcW w:w="22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18D2AC9" w14:textId="77777777" w:rsidR="00F63CFC" w:rsidRPr="00F63CFC" w:rsidRDefault="00F63CFC">
            <w:pPr>
              <w:rPr>
                <w:sz w:val="22"/>
                <w:szCs w:val="22"/>
              </w:rPr>
            </w:pPr>
            <w:r w:rsidRPr="00F63CFC">
              <w:rPr>
                <w:b/>
                <w:bCs/>
                <w:sz w:val="22"/>
                <w:szCs w:val="22"/>
              </w:rPr>
              <w:t>September 2030</w:t>
            </w:r>
          </w:p>
        </w:tc>
        <w:tc>
          <w:tcPr>
            <w:tcW w:w="6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AF5036" w14:textId="77777777" w:rsidR="00F63CFC" w:rsidRPr="00F63CFC" w:rsidRDefault="00F63CFC">
            <w:pPr>
              <w:rPr>
                <w:sz w:val="22"/>
                <w:szCs w:val="22"/>
              </w:rPr>
            </w:pPr>
            <w:r w:rsidRPr="00F63CFC">
              <w:rPr>
                <w:sz w:val="22"/>
                <w:szCs w:val="22"/>
              </w:rPr>
              <w:t>All existing EHCPs and protections remain in place until this date. Full statutory changeover to the new system.</w:t>
            </w:r>
          </w:p>
        </w:tc>
      </w:tr>
    </w:tbl>
    <w:p w14:paraId="285E89C4" w14:textId="77777777" w:rsidR="00F63CFC" w:rsidRDefault="00F63CFC" w:rsidP="00F63CFC">
      <w:pPr>
        <w:rPr>
          <w:b/>
          <w:bCs/>
          <w:color w:val="0B769F" w:themeColor="accent4" w:themeShade="BF"/>
          <w:sz w:val="28"/>
          <w:szCs w:val="28"/>
          <w:u w:val="single"/>
        </w:rPr>
      </w:pPr>
    </w:p>
    <w:p w14:paraId="4C5B6617" w14:textId="678D0751"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lastRenderedPageBreak/>
        <w:t>Background: What Problem Is Being Addressed?</w:t>
      </w:r>
    </w:p>
    <w:p w14:paraId="6EE40413" w14:textId="77777777" w:rsidR="00F63CFC" w:rsidRPr="00F63CFC" w:rsidRDefault="00F63CFC" w:rsidP="00F63CFC">
      <w:pPr>
        <w:rPr>
          <w:b/>
          <w:bCs/>
          <w:color w:val="0B769F" w:themeColor="accent4" w:themeShade="BF"/>
          <w:sz w:val="28"/>
          <w:szCs w:val="28"/>
          <w:u w:val="single"/>
        </w:rPr>
      </w:pPr>
    </w:p>
    <w:p w14:paraId="69684B82" w14:textId="56EA7B09" w:rsidR="0009631B" w:rsidRPr="00F63CFC" w:rsidRDefault="001650F8" w:rsidP="00F63CFC">
      <w:pPr>
        <w:rPr>
          <w:sz w:val="22"/>
          <w:szCs w:val="22"/>
        </w:rPr>
      </w:pPr>
      <w:r w:rsidRPr="00F63CFC">
        <w:rPr>
          <w:sz w:val="22"/>
          <w:szCs w:val="22"/>
        </w:rPr>
        <w:t xml:space="preserve">The </w:t>
      </w:r>
      <w:r w:rsidR="00156D5B">
        <w:rPr>
          <w:sz w:val="22"/>
          <w:szCs w:val="22"/>
        </w:rPr>
        <w:t xml:space="preserve">case for change </w:t>
      </w:r>
      <w:r w:rsidRPr="00F63CFC">
        <w:rPr>
          <w:sz w:val="22"/>
          <w:szCs w:val="22"/>
        </w:rPr>
        <w:t>concludes that the current SEND system is fundamentally misaligned with children's needs and increasingly financially unsustainable. The government identifies the following core failures:</w:t>
      </w:r>
    </w:p>
    <w:p w14:paraId="61259B2F" w14:textId="77777777" w:rsidR="0009631B" w:rsidRPr="00F63CFC" w:rsidRDefault="001650F8" w:rsidP="00270606">
      <w:pPr>
        <w:pStyle w:val="ListParagraph"/>
        <w:numPr>
          <w:ilvl w:val="0"/>
          <w:numId w:val="3"/>
        </w:numPr>
        <w:rPr>
          <w:sz w:val="22"/>
          <w:szCs w:val="22"/>
        </w:rPr>
      </w:pPr>
      <w:r w:rsidRPr="00F63CFC">
        <w:rPr>
          <w:sz w:val="22"/>
          <w:szCs w:val="22"/>
        </w:rPr>
        <w:t>Too many children experience delay and exclusion before support is provided.</w:t>
      </w:r>
    </w:p>
    <w:p w14:paraId="7ABF358F" w14:textId="77777777" w:rsidR="0009631B" w:rsidRPr="00F63CFC" w:rsidRDefault="001650F8" w:rsidP="00270606">
      <w:pPr>
        <w:pStyle w:val="ListParagraph"/>
        <w:numPr>
          <w:ilvl w:val="0"/>
          <w:numId w:val="3"/>
        </w:numPr>
        <w:rPr>
          <w:sz w:val="22"/>
          <w:szCs w:val="22"/>
        </w:rPr>
      </w:pPr>
      <w:r w:rsidRPr="00F63CFC">
        <w:rPr>
          <w:sz w:val="22"/>
          <w:szCs w:val="22"/>
        </w:rPr>
        <w:t>Families must navigate lengthy, adversarial processes to access even basic help.</w:t>
      </w:r>
    </w:p>
    <w:p w14:paraId="1476A6D6" w14:textId="77777777" w:rsidR="0009631B" w:rsidRPr="00F63CFC" w:rsidRDefault="001650F8" w:rsidP="00270606">
      <w:pPr>
        <w:pStyle w:val="ListParagraph"/>
        <w:numPr>
          <w:ilvl w:val="0"/>
          <w:numId w:val="3"/>
        </w:numPr>
        <w:rPr>
          <w:sz w:val="22"/>
          <w:szCs w:val="22"/>
        </w:rPr>
      </w:pPr>
      <w:r w:rsidRPr="00F63CFC">
        <w:rPr>
          <w:sz w:val="22"/>
          <w:szCs w:val="22"/>
        </w:rPr>
        <w:t>The EHCP has become the main gateway to all support, rather than a targeted tool for the most complex needs — creating a 'fight for a plan' culture.</w:t>
      </w:r>
    </w:p>
    <w:p w14:paraId="26EB2B32" w14:textId="77777777" w:rsidR="0009631B" w:rsidRPr="00F63CFC" w:rsidRDefault="001650F8" w:rsidP="00270606">
      <w:pPr>
        <w:pStyle w:val="ListParagraph"/>
        <w:numPr>
          <w:ilvl w:val="0"/>
          <w:numId w:val="3"/>
        </w:numPr>
        <w:rPr>
          <w:sz w:val="22"/>
          <w:szCs w:val="22"/>
        </w:rPr>
      </w:pPr>
      <w:r w:rsidRPr="00F63CFC">
        <w:rPr>
          <w:sz w:val="22"/>
          <w:szCs w:val="22"/>
        </w:rPr>
        <w:t>Despite substantially increased high-needs funding, outcomes have not improved and gaps persist.</w:t>
      </w:r>
    </w:p>
    <w:p w14:paraId="26E4F3A2" w14:textId="62E06A9C" w:rsidR="0009631B" w:rsidRPr="00F63CFC" w:rsidRDefault="001650F8" w:rsidP="00270606">
      <w:pPr>
        <w:pStyle w:val="ListParagraph"/>
        <w:numPr>
          <w:ilvl w:val="0"/>
          <w:numId w:val="3"/>
        </w:numPr>
        <w:rPr>
          <w:sz w:val="22"/>
          <w:szCs w:val="22"/>
        </w:rPr>
      </w:pPr>
      <w:r w:rsidRPr="00F63CFC">
        <w:rPr>
          <w:sz w:val="22"/>
          <w:szCs w:val="22"/>
        </w:rPr>
        <w:t>Provision varies enormously between areas, creating a</w:t>
      </w:r>
      <w:r w:rsidR="007C1F27">
        <w:rPr>
          <w:sz w:val="22"/>
          <w:szCs w:val="22"/>
        </w:rPr>
        <w:t xml:space="preserve">n inconsistent </w:t>
      </w:r>
      <w:r w:rsidR="00F16738">
        <w:rPr>
          <w:sz w:val="22"/>
          <w:szCs w:val="22"/>
        </w:rPr>
        <w:t>offer to all</w:t>
      </w:r>
      <w:r w:rsidRPr="00F63CFC">
        <w:rPr>
          <w:sz w:val="22"/>
          <w:szCs w:val="22"/>
        </w:rPr>
        <w:t>.</w:t>
      </w:r>
    </w:p>
    <w:p w14:paraId="386358DB" w14:textId="77777777" w:rsidR="0009631B" w:rsidRPr="00F63CFC" w:rsidRDefault="001650F8" w:rsidP="00270606">
      <w:pPr>
        <w:pStyle w:val="ListParagraph"/>
        <w:numPr>
          <w:ilvl w:val="0"/>
          <w:numId w:val="3"/>
        </w:numPr>
        <w:rPr>
          <w:sz w:val="22"/>
          <w:szCs w:val="22"/>
        </w:rPr>
      </w:pPr>
      <w:r w:rsidRPr="00F63CFC">
        <w:rPr>
          <w:sz w:val="22"/>
          <w:szCs w:val="22"/>
        </w:rPr>
        <w:t>Local authorities face unsustainable financial pressure, while schools struggle to access specialist expertise in a timely way.</w:t>
      </w:r>
    </w:p>
    <w:p w14:paraId="56549C94" w14:textId="77777777" w:rsidR="0009631B" w:rsidRPr="00F63CFC" w:rsidRDefault="0009631B" w:rsidP="00F63CFC">
      <w:pPr>
        <w:rPr>
          <w:sz w:val="22"/>
          <w:szCs w:val="22"/>
        </w:rPr>
      </w:pPr>
    </w:p>
    <w:p w14:paraId="0707BD80" w14:textId="34272CEF"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Reform Principles</w:t>
      </w:r>
    </w:p>
    <w:p w14:paraId="076E7911" w14:textId="77777777" w:rsidR="00F63CFC" w:rsidRPr="00F63CFC" w:rsidRDefault="00F63CFC" w:rsidP="00F63CFC">
      <w:pPr>
        <w:rPr>
          <w:b/>
          <w:bCs/>
          <w:color w:val="0B769F" w:themeColor="accent4" w:themeShade="BF"/>
          <w:sz w:val="28"/>
          <w:szCs w:val="28"/>
          <w:u w:val="single"/>
        </w:rPr>
      </w:pPr>
    </w:p>
    <w:p w14:paraId="4EFD81E9" w14:textId="77777777" w:rsidR="0009631B" w:rsidRDefault="001650F8" w:rsidP="00F63CFC">
      <w:pPr>
        <w:rPr>
          <w:sz w:val="22"/>
          <w:szCs w:val="22"/>
        </w:rPr>
      </w:pPr>
      <w:r w:rsidRPr="00F63CFC">
        <w:rPr>
          <w:sz w:val="22"/>
          <w:szCs w:val="22"/>
        </w:rPr>
        <w:t>The government has built the consultation around five principles for the reformed system:</w:t>
      </w:r>
    </w:p>
    <w:p w14:paraId="55192572" w14:textId="77777777" w:rsidR="00F63CFC" w:rsidRDefault="00F63CFC" w:rsidP="00F63CFC">
      <w:pPr>
        <w:rPr>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7856"/>
      </w:tblGrid>
      <w:tr w:rsidR="00F63CFC" w:rsidRPr="00F63CFC" w14:paraId="31293039" w14:textId="77777777" w:rsidTr="00F63CFC">
        <w:tc>
          <w:tcPr>
            <w:tcW w:w="992" w:type="dxa"/>
            <w:tcBorders>
              <w:top w:val="single" w:sz="1" w:space="0" w:color="CCCCCC"/>
              <w:left w:val="single" w:sz="1" w:space="0" w:color="CCCCCC"/>
              <w:bottom w:val="single" w:sz="1" w:space="0" w:color="CCCCCC"/>
              <w:right w:val="single" w:sz="1" w:space="0" w:color="CCCCCC"/>
            </w:tcBorders>
            <w:shd w:val="clear" w:color="auto" w:fill="0B769F" w:themeFill="accent4" w:themeFillShade="BF"/>
            <w:tcMar>
              <w:top w:w="80" w:type="dxa"/>
              <w:left w:w="120" w:type="dxa"/>
              <w:bottom w:w="80" w:type="dxa"/>
              <w:right w:w="120" w:type="dxa"/>
            </w:tcMar>
          </w:tcPr>
          <w:p w14:paraId="78CCBC46" w14:textId="77777777" w:rsidR="00F63CFC" w:rsidRPr="00F63CFC" w:rsidRDefault="00F63CFC">
            <w:pPr>
              <w:rPr>
                <w:sz w:val="22"/>
                <w:szCs w:val="22"/>
              </w:rPr>
            </w:pPr>
            <w:r w:rsidRPr="00F63CFC">
              <w:rPr>
                <w:b/>
                <w:bCs/>
                <w:color w:val="FFFFFF"/>
                <w:sz w:val="22"/>
                <w:szCs w:val="22"/>
              </w:rPr>
              <w:t>Principle</w:t>
            </w:r>
          </w:p>
        </w:tc>
        <w:tc>
          <w:tcPr>
            <w:tcW w:w="8034" w:type="dxa"/>
            <w:tcBorders>
              <w:top w:val="single" w:sz="1" w:space="0" w:color="CCCCCC"/>
              <w:left w:val="single" w:sz="1" w:space="0" w:color="CCCCCC"/>
              <w:bottom w:val="single" w:sz="1" w:space="0" w:color="CCCCCC"/>
              <w:right w:val="single" w:sz="1" w:space="0" w:color="CCCCCC"/>
            </w:tcBorders>
            <w:shd w:val="clear" w:color="auto" w:fill="0B769F" w:themeFill="accent4" w:themeFillShade="BF"/>
            <w:tcMar>
              <w:top w:w="80" w:type="dxa"/>
              <w:left w:w="120" w:type="dxa"/>
              <w:bottom w:w="80" w:type="dxa"/>
              <w:right w:w="120" w:type="dxa"/>
            </w:tcMar>
          </w:tcPr>
          <w:p w14:paraId="615FBED7" w14:textId="77777777" w:rsidR="00F63CFC" w:rsidRPr="00F63CFC" w:rsidRDefault="00F63CFC">
            <w:pPr>
              <w:rPr>
                <w:sz w:val="22"/>
                <w:szCs w:val="22"/>
              </w:rPr>
            </w:pPr>
            <w:r w:rsidRPr="00F63CFC">
              <w:rPr>
                <w:b/>
                <w:bCs/>
                <w:color w:val="FFFFFF"/>
                <w:sz w:val="22"/>
                <w:szCs w:val="22"/>
              </w:rPr>
              <w:t>What it means</w:t>
            </w:r>
          </w:p>
        </w:tc>
      </w:tr>
      <w:tr w:rsidR="00F63CFC" w:rsidRPr="00F63CFC" w14:paraId="27BB4506" w14:textId="77777777" w:rsidTr="00614971">
        <w:tc>
          <w:tcPr>
            <w:tcW w:w="992"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142BC6B0" w14:textId="77777777" w:rsidR="00F63CFC" w:rsidRPr="00F63CFC" w:rsidRDefault="00F63CFC">
            <w:pPr>
              <w:rPr>
                <w:sz w:val="22"/>
                <w:szCs w:val="22"/>
              </w:rPr>
            </w:pPr>
            <w:r w:rsidRPr="00F63CFC">
              <w:rPr>
                <w:sz w:val="22"/>
                <w:szCs w:val="22"/>
              </w:rPr>
              <w:t>Early</w:t>
            </w:r>
          </w:p>
        </w:tc>
        <w:tc>
          <w:tcPr>
            <w:tcW w:w="803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720874" w14:textId="77777777" w:rsidR="00F63CFC" w:rsidRPr="00F63CFC" w:rsidRDefault="00F63CFC">
            <w:pPr>
              <w:rPr>
                <w:sz w:val="22"/>
                <w:szCs w:val="22"/>
              </w:rPr>
            </w:pPr>
            <w:r w:rsidRPr="00F63CFC">
              <w:rPr>
                <w:sz w:val="22"/>
                <w:szCs w:val="22"/>
              </w:rPr>
              <w:t>Support is identified and put in place as soon as needs emerge, preventing escalation.</w:t>
            </w:r>
          </w:p>
        </w:tc>
      </w:tr>
      <w:tr w:rsidR="00F63CFC" w:rsidRPr="00F63CFC" w14:paraId="6B4830EC" w14:textId="77777777" w:rsidTr="00614971">
        <w:tc>
          <w:tcPr>
            <w:tcW w:w="99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53CCD2" w14:textId="77777777" w:rsidR="00F63CFC" w:rsidRPr="00F63CFC" w:rsidRDefault="00F63CFC">
            <w:pPr>
              <w:rPr>
                <w:sz w:val="22"/>
                <w:szCs w:val="22"/>
              </w:rPr>
            </w:pPr>
            <w:r w:rsidRPr="00F63CFC">
              <w:rPr>
                <w:sz w:val="22"/>
                <w:szCs w:val="22"/>
              </w:rPr>
              <w:t>Local</w:t>
            </w:r>
          </w:p>
        </w:tc>
        <w:tc>
          <w:tcPr>
            <w:tcW w:w="803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E585BA" w14:textId="77777777" w:rsidR="00F63CFC" w:rsidRPr="00F63CFC" w:rsidRDefault="00F63CFC">
            <w:pPr>
              <w:rPr>
                <w:sz w:val="22"/>
                <w:szCs w:val="22"/>
              </w:rPr>
            </w:pPr>
            <w:r w:rsidRPr="00F63CFC">
              <w:rPr>
                <w:sz w:val="22"/>
                <w:szCs w:val="22"/>
              </w:rPr>
              <w:t>Children learn close to home alongside their peers; specialist provision used only where genuinely needed.</w:t>
            </w:r>
          </w:p>
        </w:tc>
      </w:tr>
      <w:tr w:rsidR="00F63CFC" w:rsidRPr="00F63CFC" w14:paraId="567B7FDF" w14:textId="77777777" w:rsidTr="00614971">
        <w:tc>
          <w:tcPr>
            <w:tcW w:w="992"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B89AD58" w14:textId="77777777" w:rsidR="00F63CFC" w:rsidRPr="00F63CFC" w:rsidRDefault="00F63CFC">
            <w:pPr>
              <w:rPr>
                <w:sz w:val="22"/>
                <w:szCs w:val="22"/>
              </w:rPr>
            </w:pPr>
            <w:r w:rsidRPr="00F63CFC">
              <w:rPr>
                <w:sz w:val="22"/>
                <w:szCs w:val="22"/>
              </w:rPr>
              <w:t>Fair</w:t>
            </w:r>
          </w:p>
        </w:tc>
        <w:tc>
          <w:tcPr>
            <w:tcW w:w="803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CBDA1D" w14:textId="77777777" w:rsidR="00F63CFC" w:rsidRPr="00F63CFC" w:rsidRDefault="00F63CFC">
            <w:pPr>
              <w:rPr>
                <w:sz w:val="22"/>
                <w:szCs w:val="22"/>
              </w:rPr>
            </w:pPr>
            <w:r w:rsidRPr="00F63CFC">
              <w:rPr>
                <w:sz w:val="22"/>
                <w:szCs w:val="22"/>
              </w:rPr>
              <w:t>All settings are resourced to meet common needs without families having to fight, with clear safeguards for specialist provision.</w:t>
            </w:r>
          </w:p>
        </w:tc>
      </w:tr>
      <w:tr w:rsidR="00F63CFC" w:rsidRPr="00F63CFC" w14:paraId="3F14FFAC" w14:textId="77777777" w:rsidTr="00614971">
        <w:tc>
          <w:tcPr>
            <w:tcW w:w="99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E5793C" w14:textId="77777777" w:rsidR="00F63CFC" w:rsidRPr="00F63CFC" w:rsidRDefault="00F63CFC">
            <w:pPr>
              <w:rPr>
                <w:sz w:val="22"/>
                <w:szCs w:val="22"/>
              </w:rPr>
            </w:pPr>
            <w:r w:rsidRPr="00F63CFC">
              <w:rPr>
                <w:sz w:val="22"/>
                <w:szCs w:val="22"/>
              </w:rPr>
              <w:t>Effective</w:t>
            </w:r>
          </w:p>
        </w:tc>
        <w:tc>
          <w:tcPr>
            <w:tcW w:w="803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8C9DD" w14:textId="77777777" w:rsidR="00F63CFC" w:rsidRPr="00F63CFC" w:rsidRDefault="00F63CFC">
            <w:pPr>
              <w:rPr>
                <w:sz w:val="22"/>
                <w:szCs w:val="22"/>
              </w:rPr>
            </w:pPr>
            <w:r w:rsidRPr="00F63CFC">
              <w:rPr>
                <w:sz w:val="22"/>
                <w:szCs w:val="22"/>
              </w:rPr>
              <w:t>Support is grounded in evidence, with clear routes to apply what works and improve long-term outcomes.</w:t>
            </w:r>
          </w:p>
        </w:tc>
      </w:tr>
      <w:tr w:rsidR="00F63CFC" w:rsidRPr="00F63CFC" w14:paraId="08D9D41F" w14:textId="77777777" w:rsidTr="00614971">
        <w:tc>
          <w:tcPr>
            <w:tcW w:w="992"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23A141E7" w14:textId="77777777" w:rsidR="00F63CFC" w:rsidRPr="00F63CFC" w:rsidRDefault="00F63CFC">
            <w:pPr>
              <w:rPr>
                <w:sz w:val="22"/>
                <w:szCs w:val="22"/>
              </w:rPr>
            </w:pPr>
            <w:r w:rsidRPr="00F63CFC">
              <w:rPr>
                <w:sz w:val="22"/>
                <w:szCs w:val="22"/>
              </w:rPr>
              <w:t>Shared</w:t>
            </w:r>
          </w:p>
        </w:tc>
        <w:tc>
          <w:tcPr>
            <w:tcW w:w="8034"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69FB47" w14:textId="77777777" w:rsidR="00F63CFC" w:rsidRPr="00F63CFC" w:rsidRDefault="00F63CFC">
            <w:pPr>
              <w:rPr>
                <w:sz w:val="22"/>
                <w:szCs w:val="22"/>
              </w:rPr>
            </w:pPr>
            <w:r w:rsidRPr="00F63CFC">
              <w:rPr>
                <w:sz w:val="22"/>
                <w:szCs w:val="22"/>
              </w:rPr>
              <w:t>Education, health, care and community partners work together with families and children at the centre.</w:t>
            </w:r>
          </w:p>
        </w:tc>
      </w:tr>
    </w:tbl>
    <w:p w14:paraId="64D27483" w14:textId="77777777" w:rsidR="00F63CFC" w:rsidRPr="00F63CFC" w:rsidRDefault="00F63CFC" w:rsidP="00F63CFC">
      <w:pPr>
        <w:rPr>
          <w:sz w:val="22"/>
          <w:szCs w:val="22"/>
        </w:rPr>
      </w:pPr>
    </w:p>
    <w:p w14:paraId="1CAED827" w14:textId="77777777"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The System Model: A Continuum of Support</w:t>
      </w:r>
    </w:p>
    <w:p w14:paraId="51B77873" w14:textId="77777777" w:rsidR="00F63CFC" w:rsidRPr="00F63CFC" w:rsidRDefault="00F63CFC" w:rsidP="00F63CFC">
      <w:pPr>
        <w:rPr>
          <w:b/>
          <w:bCs/>
          <w:color w:val="0B769F" w:themeColor="accent4" w:themeShade="BF"/>
          <w:sz w:val="28"/>
          <w:szCs w:val="28"/>
          <w:u w:val="single"/>
        </w:rPr>
      </w:pPr>
    </w:p>
    <w:p w14:paraId="7AA6FED8" w14:textId="78F21F98" w:rsidR="0009631B" w:rsidRDefault="001650F8" w:rsidP="00F63CFC">
      <w:pPr>
        <w:rPr>
          <w:sz w:val="22"/>
          <w:szCs w:val="22"/>
        </w:rPr>
      </w:pPr>
      <w:r w:rsidRPr="00F63CFC">
        <w:rPr>
          <w:sz w:val="22"/>
          <w:szCs w:val="22"/>
        </w:rPr>
        <w:t>The consultation proposes replacing the current system with a single continuum of support. Rather than fixed thresholds, children move fluidly between levels as their needs change — including stepping back down to less intensive support. The key features of this model are:</w:t>
      </w:r>
    </w:p>
    <w:p w14:paraId="1253A6E0" w14:textId="77777777" w:rsidR="00F63CFC" w:rsidRPr="00F63CFC" w:rsidRDefault="00F63CFC" w:rsidP="00F63CFC">
      <w:pPr>
        <w:rPr>
          <w:sz w:val="22"/>
          <w:szCs w:val="22"/>
        </w:rPr>
      </w:pPr>
    </w:p>
    <w:p w14:paraId="738BAAE3" w14:textId="77777777" w:rsidR="0009631B" w:rsidRPr="00F63CFC" w:rsidRDefault="001650F8" w:rsidP="00270606">
      <w:pPr>
        <w:pStyle w:val="ListParagraph"/>
        <w:numPr>
          <w:ilvl w:val="0"/>
          <w:numId w:val="3"/>
        </w:numPr>
        <w:rPr>
          <w:sz w:val="22"/>
          <w:szCs w:val="22"/>
        </w:rPr>
      </w:pPr>
      <w:r w:rsidRPr="00F63CFC">
        <w:rPr>
          <w:sz w:val="22"/>
          <w:szCs w:val="22"/>
        </w:rPr>
        <w:t>All children start in the Universal Offer.</w:t>
      </w:r>
    </w:p>
    <w:p w14:paraId="5027C192" w14:textId="77777777" w:rsidR="0009631B" w:rsidRPr="00F63CFC" w:rsidRDefault="001650F8" w:rsidP="00270606">
      <w:pPr>
        <w:pStyle w:val="ListParagraph"/>
        <w:numPr>
          <w:ilvl w:val="0"/>
          <w:numId w:val="3"/>
        </w:numPr>
        <w:rPr>
          <w:sz w:val="22"/>
          <w:szCs w:val="22"/>
        </w:rPr>
      </w:pPr>
      <w:r w:rsidRPr="00F63CFC">
        <w:rPr>
          <w:sz w:val="22"/>
          <w:szCs w:val="22"/>
        </w:rPr>
        <w:t>Additional support is layered on top — not substituted for what is already in place.</w:t>
      </w:r>
    </w:p>
    <w:p w14:paraId="2039E8AA" w14:textId="77777777" w:rsidR="0009631B" w:rsidRPr="00F63CFC" w:rsidRDefault="001650F8" w:rsidP="00270606">
      <w:pPr>
        <w:pStyle w:val="ListParagraph"/>
        <w:numPr>
          <w:ilvl w:val="0"/>
          <w:numId w:val="3"/>
        </w:numPr>
        <w:rPr>
          <w:sz w:val="22"/>
          <w:szCs w:val="22"/>
        </w:rPr>
      </w:pPr>
      <w:r w:rsidRPr="00F63CFC">
        <w:rPr>
          <w:sz w:val="22"/>
          <w:szCs w:val="22"/>
        </w:rPr>
        <w:t>Movement between levels is expected and normal.</w:t>
      </w:r>
    </w:p>
    <w:p w14:paraId="689F8770" w14:textId="77777777" w:rsidR="0009631B" w:rsidRPr="00F63CFC" w:rsidRDefault="001650F8" w:rsidP="00270606">
      <w:pPr>
        <w:pStyle w:val="ListParagraph"/>
        <w:numPr>
          <w:ilvl w:val="0"/>
          <w:numId w:val="3"/>
        </w:numPr>
        <w:rPr>
          <w:sz w:val="22"/>
          <w:szCs w:val="22"/>
        </w:rPr>
      </w:pPr>
      <w:r w:rsidRPr="00F63CFC">
        <w:rPr>
          <w:sz w:val="22"/>
          <w:szCs w:val="22"/>
        </w:rPr>
        <w:t>Statutory plans (EHCPs) become one part of the system, not the organising centre.</w:t>
      </w:r>
    </w:p>
    <w:p w14:paraId="4B1BD10B" w14:textId="77777777" w:rsidR="0009631B" w:rsidRPr="00F63CFC" w:rsidRDefault="001650F8" w:rsidP="00270606">
      <w:pPr>
        <w:pStyle w:val="ListParagraph"/>
        <w:numPr>
          <w:ilvl w:val="0"/>
          <w:numId w:val="3"/>
        </w:numPr>
        <w:rPr>
          <w:sz w:val="22"/>
          <w:szCs w:val="22"/>
        </w:rPr>
      </w:pPr>
      <w:r w:rsidRPr="00F63CFC">
        <w:rPr>
          <w:sz w:val="22"/>
          <w:szCs w:val="22"/>
        </w:rPr>
        <w:t>Specialist expertise is brought into mainstream settings, rather than children being moved out by default.</w:t>
      </w:r>
    </w:p>
    <w:p w14:paraId="052F686B" w14:textId="77777777" w:rsidR="0009631B" w:rsidRPr="00F63CFC" w:rsidRDefault="0009631B" w:rsidP="00F63CFC">
      <w:pPr>
        <w:rPr>
          <w:sz w:val="22"/>
          <w:szCs w:val="22"/>
        </w:rPr>
      </w:pPr>
    </w:p>
    <w:p w14:paraId="49659564" w14:textId="77777777" w:rsidR="004F2F86" w:rsidRDefault="004F2F86" w:rsidP="00F63CFC">
      <w:pPr>
        <w:rPr>
          <w:b/>
          <w:bCs/>
          <w:color w:val="0B769F" w:themeColor="accent4" w:themeShade="BF"/>
          <w:sz w:val="28"/>
          <w:szCs w:val="28"/>
          <w:u w:val="single"/>
        </w:rPr>
      </w:pPr>
    </w:p>
    <w:p w14:paraId="60AB7ECF" w14:textId="77777777" w:rsidR="004F2F86" w:rsidRDefault="004F2F86" w:rsidP="00F63CFC">
      <w:pPr>
        <w:rPr>
          <w:b/>
          <w:bCs/>
          <w:color w:val="0B769F" w:themeColor="accent4" w:themeShade="BF"/>
          <w:sz w:val="28"/>
          <w:szCs w:val="28"/>
          <w:u w:val="single"/>
        </w:rPr>
      </w:pPr>
    </w:p>
    <w:p w14:paraId="042B66A2" w14:textId="77777777" w:rsidR="004F2F86" w:rsidRDefault="004F2F86" w:rsidP="00F63CFC">
      <w:pPr>
        <w:rPr>
          <w:b/>
          <w:bCs/>
          <w:color w:val="0B769F" w:themeColor="accent4" w:themeShade="BF"/>
          <w:sz w:val="28"/>
          <w:szCs w:val="28"/>
          <w:u w:val="single"/>
        </w:rPr>
      </w:pPr>
    </w:p>
    <w:p w14:paraId="5F055030" w14:textId="77777777" w:rsidR="004F2F86" w:rsidRDefault="004F2F86" w:rsidP="00F63CFC">
      <w:pPr>
        <w:rPr>
          <w:b/>
          <w:bCs/>
          <w:color w:val="0B769F" w:themeColor="accent4" w:themeShade="BF"/>
          <w:sz w:val="28"/>
          <w:szCs w:val="28"/>
          <w:u w:val="single"/>
        </w:rPr>
      </w:pPr>
    </w:p>
    <w:p w14:paraId="222C053E" w14:textId="77777777" w:rsidR="004F2F86" w:rsidRDefault="004F2F86" w:rsidP="00F63CFC">
      <w:pPr>
        <w:rPr>
          <w:b/>
          <w:bCs/>
          <w:color w:val="0B769F" w:themeColor="accent4" w:themeShade="BF"/>
          <w:sz w:val="28"/>
          <w:szCs w:val="28"/>
          <w:u w:val="single"/>
        </w:rPr>
      </w:pPr>
    </w:p>
    <w:p w14:paraId="10962110" w14:textId="4F7CEF79" w:rsidR="0038047B" w:rsidRDefault="0038047B" w:rsidP="00F63CFC">
      <w:pPr>
        <w:rPr>
          <w:b/>
          <w:bCs/>
          <w:color w:val="0B769F" w:themeColor="accent4" w:themeShade="BF"/>
          <w:sz w:val="28"/>
          <w:szCs w:val="28"/>
          <w:u w:val="single"/>
        </w:rPr>
      </w:pPr>
      <w:r w:rsidRPr="0038047B">
        <w:rPr>
          <w:b/>
          <w:bCs/>
          <w:noProof/>
          <w:color w:val="0B769F" w:themeColor="accent4" w:themeShade="BF"/>
          <w:sz w:val="28"/>
          <w:szCs w:val="28"/>
          <w:u w:val="single"/>
        </w:rPr>
        <w:lastRenderedPageBreak/>
        <w:drawing>
          <wp:inline distT="0" distB="0" distL="0" distR="0" wp14:anchorId="06FBC79B" wp14:editId="347AC7BB">
            <wp:extent cx="6188710" cy="2787650"/>
            <wp:effectExtent l="0" t="0" r="2540" b="0"/>
            <wp:docPr id="1844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9425" name=""/>
                    <pic:cNvPicPr/>
                  </pic:nvPicPr>
                  <pic:blipFill rotWithShape="1">
                    <a:blip r:embed="rId12"/>
                    <a:srcRect t="8914" b="81"/>
                    <a:stretch>
                      <a:fillRect/>
                    </a:stretch>
                  </pic:blipFill>
                  <pic:spPr bwMode="auto">
                    <a:xfrm>
                      <a:off x="0" y="0"/>
                      <a:ext cx="6188710" cy="2787650"/>
                    </a:xfrm>
                    <a:prstGeom prst="rect">
                      <a:avLst/>
                    </a:prstGeom>
                    <a:ln>
                      <a:noFill/>
                    </a:ln>
                    <a:extLst>
                      <a:ext uri="{53640926-AAD7-44D8-BBD7-CCE9431645EC}">
                        <a14:shadowObscured xmlns:a14="http://schemas.microsoft.com/office/drawing/2010/main"/>
                      </a:ext>
                    </a:extLst>
                  </pic:spPr>
                </pic:pic>
              </a:graphicData>
            </a:graphic>
          </wp:inline>
        </w:drawing>
      </w:r>
    </w:p>
    <w:p w14:paraId="2C3B7BE1" w14:textId="77777777" w:rsidR="0038047B" w:rsidRDefault="0038047B" w:rsidP="00F63CFC">
      <w:pPr>
        <w:rPr>
          <w:b/>
          <w:bCs/>
          <w:color w:val="0B769F" w:themeColor="accent4" w:themeShade="BF"/>
          <w:sz w:val="28"/>
          <w:szCs w:val="28"/>
          <w:u w:val="single"/>
        </w:rPr>
      </w:pPr>
    </w:p>
    <w:p w14:paraId="4B6FDDF5" w14:textId="77777777" w:rsidR="0038047B" w:rsidRDefault="0038047B" w:rsidP="00F63CFC">
      <w:pPr>
        <w:rPr>
          <w:b/>
          <w:bCs/>
          <w:color w:val="0B769F" w:themeColor="accent4" w:themeShade="BF"/>
          <w:sz w:val="28"/>
          <w:szCs w:val="28"/>
          <w:u w:val="single"/>
        </w:rPr>
      </w:pPr>
    </w:p>
    <w:p w14:paraId="06C5870C" w14:textId="010C2EE6"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Level 1: Universal Offer</w:t>
      </w:r>
    </w:p>
    <w:p w14:paraId="4325CF89" w14:textId="77777777" w:rsidR="00F63CFC" w:rsidRPr="00F63CFC" w:rsidRDefault="00F63CFC" w:rsidP="00F63CFC">
      <w:pPr>
        <w:rPr>
          <w:b/>
          <w:bCs/>
          <w:color w:val="0B769F" w:themeColor="accent4" w:themeShade="BF"/>
          <w:sz w:val="28"/>
          <w:szCs w:val="28"/>
          <w:u w:val="single"/>
        </w:rPr>
      </w:pPr>
    </w:p>
    <w:p w14:paraId="62DA9759" w14:textId="77777777" w:rsidR="0009631B" w:rsidRDefault="001650F8" w:rsidP="00F63CFC">
      <w:pPr>
        <w:pStyle w:val="Heading2"/>
        <w:spacing w:before="0" w:after="0"/>
        <w:rPr>
          <w:color w:val="auto"/>
          <w:sz w:val="22"/>
          <w:szCs w:val="22"/>
        </w:rPr>
      </w:pPr>
      <w:r w:rsidRPr="00F63CFC">
        <w:rPr>
          <w:color w:val="auto"/>
          <w:sz w:val="22"/>
          <w:szCs w:val="22"/>
        </w:rPr>
        <w:t>What is being proposed?</w:t>
      </w:r>
    </w:p>
    <w:p w14:paraId="58E2216B" w14:textId="77777777" w:rsidR="00F63CFC" w:rsidRPr="00F63CFC" w:rsidRDefault="00F63CFC" w:rsidP="00F63CFC">
      <w:pPr>
        <w:pStyle w:val="Heading2"/>
        <w:spacing w:before="0" w:after="0"/>
        <w:rPr>
          <w:color w:val="auto"/>
          <w:sz w:val="22"/>
          <w:szCs w:val="22"/>
        </w:rPr>
      </w:pPr>
    </w:p>
    <w:p w14:paraId="7F84A0A2" w14:textId="5A6685CB" w:rsidR="0009631B" w:rsidRDefault="001650F8" w:rsidP="00F63CFC">
      <w:pPr>
        <w:rPr>
          <w:sz w:val="22"/>
          <w:szCs w:val="22"/>
        </w:rPr>
      </w:pPr>
      <w:r w:rsidRPr="00F63CFC">
        <w:rPr>
          <w:sz w:val="22"/>
          <w:szCs w:val="22"/>
        </w:rPr>
        <w:t>A strengthened Universal Offer forming the foundation of the SEND system across early years, schools and colleges. This includes high-quality teaching, inclusive environments, early identification of barriers to learning, and strong partnerships with families and local services.</w:t>
      </w:r>
      <w:r w:rsidR="00F63CFC">
        <w:rPr>
          <w:sz w:val="22"/>
          <w:szCs w:val="22"/>
        </w:rPr>
        <w:t xml:space="preserve">  </w:t>
      </w:r>
      <w:r w:rsidRPr="00F63CFC">
        <w:rPr>
          <w:sz w:val="22"/>
          <w:szCs w:val="22"/>
        </w:rPr>
        <w:t>To support this, the government is proposing:</w:t>
      </w:r>
    </w:p>
    <w:p w14:paraId="4EB4288A" w14:textId="77777777" w:rsidR="00F63CFC" w:rsidRPr="00F63CFC" w:rsidRDefault="00F63CFC" w:rsidP="00F63CFC">
      <w:pPr>
        <w:rPr>
          <w:sz w:val="22"/>
          <w:szCs w:val="22"/>
        </w:rPr>
      </w:pPr>
    </w:p>
    <w:p w14:paraId="1E1373A5" w14:textId="77777777" w:rsidR="0009631B" w:rsidRPr="00F63CFC" w:rsidRDefault="001650F8" w:rsidP="00270606">
      <w:pPr>
        <w:pStyle w:val="ListParagraph"/>
        <w:numPr>
          <w:ilvl w:val="0"/>
          <w:numId w:val="3"/>
        </w:numPr>
        <w:rPr>
          <w:sz w:val="22"/>
          <w:szCs w:val="22"/>
        </w:rPr>
      </w:pPr>
      <w:r w:rsidRPr="00F63CFC">
        <w:rPr>
          <w:sz w:val="22"/>
          <w:szCs w:val="22"/>
        </w:rPr>
        <w:t>£1.6bn Inclusive Mainstream Fund over three years from 2026–27 to help settings become more inclusive.</w:t>
      </w:r>
    </w:p>
    <w:p w14:paraId="6B48401B" w14:textId="77777777" w:rsidR="0009631B" w:rsidRPr="00F63CFC" w:rsidRDefault="001650F8" w:rsidP="00270606">
      <w:pPr>
        <w:pStyle w:val="ListParagraph"/>
        <w:numPr>
          <w:ilvl w:val="0"/>
          <w:numId w:val="3"/>
        </w:numPr>
        <w:rPr>
          <w:sz w:val="22"/>
          <w:szCs w:val="22"/>
        </w:rPr>
      </w:pPr>
      <w:r w:rsidRPr="00F63CFC">
        <w:rPr>
          <w:sz w:val="22"/>
          <w:szCs w:val="22"/>
        </w:rPr>
        <w:t>National Inclusion Standards defining what good inclusive practice looks like, based on evidence.</w:t>
      </w:r>
    </w:p>
    <w:p w14:paraId="4DD02A5E" w14:textId="77777777" w:rsidR="0009631B" w:rsidRPr="00F63CFC" w:rsidRDefault="001650F8" w:rsidP="00270606">
      <w:pPr>
        <w:pStyle w:val="ListParagraph"/>
        <w:numPr>
          <w:ilvl w:val="0"/>
          <w:numId w:val="3"/>
        </w:numPr>
        <w:rPr>
          <w:sz w:val="22"/>
          <w:szCs w:val="22"/>
        </w:rPr>
      </w:pPr>
      <w:r w:rsidRPr="00F63CFC">
        <w:rPr>
          <w:sz w:val="22"/>
          <w:szCs w:val="22"/>
        </w:rPr>
        <w:t>A new statutory duty on schools to publish an Inclusion Strategy, replacing the current SEN information report.</w:t>
      </w:r>
    </w:p>
    <w:p w14:paraId="45F63AFB" w14:textId="707C0706" w:rsidR="0009631B" w:rsidRPr="00F63CFC" w:rsidRDefault="001650F8" w:rsidP="00270606">
      <w:pPr>
        <w:pStyle w:val="ListParagraph"/>
        <w:numPr>
          <w:ilvl w:val="0"/>
          <w:numId w:val="3"/>
        </w:numPr>
        <w:rPr>
          <w:sz w:val="22"/>
          <w:szCs w:val="22"/>
        </w:rPr>
      </w:pPr>
      <w:r w:rsidRPr="00F63CFC">
        <w:rPr>
          <w:sz w:val="22"/>
          <w:szCs w:val="22"/>
        </w:rPr>
        <w:t xml:space="preserve">Inclusion embedded within Ofsted and CQC </w:t>
      </w:r>
      <w:r w:rsidR="00E132A8">
        <w:rPr>
          <w:sz w:val="22"/>
          <w:szCs w:val="22"/>
        </w:rPr>
        <w:t xml:space="preserve">Area </w:t>
      </w:r>
      <w:r w:rsidRPr="00F63CFC">
        <w:rPr>
          <w:sz w:val="22"/>
          <w:szCs w:val="22"/>
        </w:rPr>
        <w:t>inspection frameworks.</w:t>
      </w:r>
    </w:p>
    <w:p w14:paraId="12417911" w14:textId="77777777" w:rsidR="0009631B" w:rsidRPr="00F63CFC" w:rsidRDefault="001650F8" w:rsidP="00270606">
      <w:pPr>
        <w:pStyle w:val="ListParagraph"/>
        <w:numPr>
          <w:ilvl w:val="0"/>
          <w:numId w:val="3"/>
        </w:numPr>
        <w:rPr>
          <w:sz w:val="22"/>
          <w:szCs w:val="22"/>
        </w:rPr>
      </w:pPr>
      <w:r w:rsidRPr="00F63CFC">
        <w:rPr>
          <w:sz w:val="22"/>
          <w:szCs w:val="22"/>
        </w:rPr>
        <w:t>Significant investment in workforce training and capability.</w:t>
      </w:r>
    </w:p>
    <w:p w14:paraId="74CE3865" w14:textId="0E207488" w:rsidR="0009631B" w:rsidRDefault="001650F8" w:rsidP="00270606">
      <w:pPr>
        <w:pStyle w:val="ListParagraph"/>
        <w:numPr>
          <w:ilvl w:val="0"/>
          <w:numId w:val="3"/>
        </w:numPr>
        <w:rPr>
          <w:sz w:val="22"/>
          <w:szCs w:val="22"/>
        </w:rPr>
      </w:pPr>
      <w:r w:rsidRPr="00F63CFC">
        <w:rPr>
          <w:sz w:val="22"/>
          <w:szCs w:val="22"/>
        </w:rPr>
        <w:t>Inclusive design guidance for local authorities and settings to use their estate</w:t>
      </w:r>
      <w:r w:rsidR="00BE623F">
        <w:rPr>
          <w:sz w:val="22"/>
          <w:szCs w:val="22"/>
        </w:rPr>
        <w:t xml:space="preserve"> (buildings)</w:t>
      </w:r>
      <w:r w:rsidRPr="00F63CFC">
        <w:rPr>
          <w:sz w:val="22"/>
          <w:szCs w:val="22"/>
        </w:rPr>
        <w:t xml:space="preserve"> to support inclusion.</w:t>
      </w:r>
    </w:p>
    <w:p w14:paraId="15BBD141" w14:textId="77777777" w:rsidR="00F63CFC" w:rsidRPr="00F63CFC" w:rsidRDefault="00F63CFC" w:rsidP="00F63CFC">
      <w:pPr>
        <w:pStyle w:val="ListParagraph"/>
        <w:ind w:left="720"/>
        <w:rPr>
          <w:sz w:val="22"/>
          <w:szCs w:val="22"/>
        </w:rPr>
      </w:pPr>
    </w:p>
    <w:p w14:paraId="265675E0" w14:textId="77777777" w:rsidR="0009631B" w:rsidRDefault="001650F8" w:rsidP="00F63CFC">
      <w:pPr>
        <w:pStyle w:val="Heading2"/>
        <w:spacing w:before="0" w:after="0"/>
        <w:rPr>
          <w:color w:val="auto"/>
          <w:sz w:val="22"/>
          <w:szCs w:val="22"/>
        </w:rPr>
      </w:pPr>
      <w:r w:rsidRPr="00F63CFC">
        <w:rPr>
          <w:color w:val="auto"/>
          <w:sz w:val="22"/>
          <w:szCs w:val="22"/>
        </w:rPr>
        <w:t>What is being consulted on?</w:t>
      </w:r>
    </w:p>
    <w:p w14:paraId="01FB3A92" w14:textId="77777777" w:rsidR="00F63CFC" w:rsidRPr="00F63CFC" w:rsidRDefault="00F63CFC" w:rsidP="00F63CFC">
      <w:pPr>
        <w:pStyle w:val="Heading2"/>
        <w:spacing w:before="0" w:after="0"/>
        <w:rPr>
          <w:color w:val="auto"/>
          <w:sz w:val="22"/>
          <w:szCs w:val="22"/>
        </w:rPr>
      </w:pPr>
    </w:p>
    <w:p w14:paraId="5DF4DD87" w14:textId="77777777" w:rsidR="0009631B" w:rsidRPr="00F63CFC" w:rsidRDefault="001650F8" w:rsidP="00270606">
      <w:pPr>
        <w:pStyle w:val="ListParagraph"/>
        <w:numPr>
          <w:ilvl w:val="0"/>
          <w:numId w:val="3"/>
        </w:numPr>
        <w:rPr>
          <w:sz w:val="22"/>
          <w:szCs w:val="22"/>
        </w:rPr>
      </w:pPr>
      <w:r w:rsidRPr="00F63CFC">
        <w:rPr>
          <w:sz w:val="22"/>
          <w:szCs w:val="22"/>
        </w:rPr>
        <w:t>The content of the Universal Offer and National Inclusion Standards.</w:t>
      </w:r>
    </w:p>
    <w:p w14:paraId="15E36501" w14:textId="77777777" w:rsidR="0009631B" w:rsidRPr="00F63CFC" w:rsidRDefault="001650F8" w:rsidP="00270606">
      <w:pPr>
        <w:pStyle w:val="ListParagraph"/>
        <w:numPr>
          <w:ilvl w:val="0"/>
          <w:numId w:val="3"/>
        </w:numPr>
        <w:rPr>
          <w:sz w:val="22"/>
          <w:szCs w:val="22"/>
        </w:rPr>
      </w:pPr>
      <w:r w:rsidRPr="00F63CFC">
        <w:rPr>
          <w:sz w:val="22"/>
          <w:szCs w:val="22"/>
        </w:rPr>
        <w:t>How schools should be held accountable for inclusive practice.</w:t>
      </w:r>
    </w:p>
    <w:p w14:paraId="4FA68C7D" w14:textId="77777777" w:rsidR="0009631B" w:rsidRPr="00F63CFC" w:rsidRDefault="001650F8" w:rsidP="00270606">
      <w:pPr>
        <w:pStyle w:val="ListParagraph"/>
        <w:numPr>
          <w:ilvl w:val="0"/>
          <w:numId w:val="3"/>
        </w:numPr>
        <w:rPr>
          <w:sz w:val="22"/>
          <w:szCs w:val="22"/>
        </w:rPr>
      </w:pPr>
      <w:r w:rsidRPr="00F63CFC">
        <w:rPr>
          <w:sz w:val="22"/>
          <w:szCs w:val="22"/>
        </w:rPr>
        <w:t>What national SEND training should cover.</w:t>
      </w:r>
    </w:p>
    <w:p w14:paraId="436868EF" w14:textId="77777777" w:rsidR="0009631B" w:rsidRPr="00F63CFC" w:rsidRDefault="0009631B" w:rsidP="00F63CFC">
      <w:pPr>
        <w:rPr>
          <w:sz w:val="22"/>
          <w:szCs w:val="22"/>
        </w:rPr>
      </w:pPr>
    </w:p>
    <w:p w14:paraId="178E6448" w14:textId="77777777"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Level 2: Targeted Support</w:t>
      </w:r>
    </w:p>
    <w:p w14:paraId="6F340709" w14:textId="77777777" w:rsidR="00F63CFC" w:rsidRPr="00F63CFC" w:rsidRDefault="00F63CFC" w:rsidP="00F63CFC">
      <w:pPr>
        <w:rPr>
          <w:b/>
          <w:bCs/>
          <w:color w:val="0B769F" w:themeColor="accent4" w:themeShade="BF"/>
          <w:sz w:val="28"/>
          <w:szCs w:val="28"/>
          <w:u w:val="single"/>
        </w:rPr>
      </w:pPr>
    </w:p>
    <w:p w14:paraId="4CA9CE43" w14:textId="77777777" w:rsidR="0009631B" w:rsidRDefault="001650F8" w:rsidP="00F63CFC">
      <w:pPr>
        <w:pStyle w:val="Heading2"/>
        <w:spacing w:before="0" w:after="0"/>
        <w:rPr>
          <w:color w:val="auto"/>
          <w:sz w:val="22"/>
          <w:szCs w:val="22"/>
        </w:rPr>
      </w:pPr>
      <w:r w:rsidRPr="00F63CFC">
        <w:rPr>
          <w:color w:val="auto"/>
          <w:sz w:val="22"/>
          <w:szCs w:val="22"/>
        </w:rPr>
        <w:t>What is being proposed?</w:t>
      </w:r>
    </w:p>
    <w:p w14:paraId="3E4E1729" w14:textId="77777777" w:rsidR="00F63CFC" w:rsidRPr="00F63CFC" w:rsidRDefault="00F63CFC" w:rsidP="00F63CFC">
      <w:pPr>
        <w:pStyle w:val="Heading2"/>
        <w:spacing w:before="0" w:after="0"/>
        <w:rPr>
          <w:color w:val="auto"/>
          <w:sz w:val="22"/>
          <w:szCs w:val="22"/>
        </w:rPr>
      </w:pPr>
    </w:p>
    <w:p w14:paraId="295AAB58" w14:textId="77777777" w:rsidR="0009631B" w:rsidRDefault="001650F8" w:rsidP="00F63CFC">
      <w:pPr>
        <w:rPr>
          <w:sz w:val="22"/>
          <w:szCs w:val="22"/>
        </w:rPr>
      </w:pPr>
      <w:r w:rsidRPr="00F63CFC">
        <w:rPr>
          <w:sz w:val="22"/>
          <w:szCs w:val="22"/>
        </w:rPr>
        <w:t>Targeted support provides additional, school-led help on top of the Universal Offer for children whose needs persist, without requiring statutory assessment. Support is recorded in a new Individual Support Plan (ISP), which will be:</w:t>
      </w:r>
    </w:p>
    <w:p w14:paraId="213C678C" w14:textId="77777777" w:rsidR="002A3EB2" w:rsidRDefault="002A3EB2" w:rsidP="00F63CFC">
      <w:pPr>
        <w:rPr>
          <w:sz w:val="22"/>
          <w:szCs w:val="22"/>
        </w:rPr>
      </w:pPr>
    </w:p>
    <w:p w14:paraId="7A8A9B72" w14:textId="77777777" w:rsidR="00F63CFC" w:rsidRDefault="00F63CFC" w:rsidP="00F63CFC">
      <w:pPr>
        <w:rPr>
          <w:sz w:val="22"/>
          <w:szCs w:val="22"/>
        </w:rPr>
      </w:pPr>
    </w:p>
    <w:p w14:paraId="18017B47" w14:textId="77777777" w:rsidR="00123E48" w:rsidRPr="00F63CFC" w:rsidRDefault="00123E48" w:rsidP="00F63CFC">
      <w:pPr>
        <w:rPr>
          <w:sz w:val="22"/>
          <w:szCs w:val="22"/>
        </w:rPr>
      </w:pPr>
    </w:p>
    <w:p w14:paraId="166C21FE" w14:textId="77777777" w:rsidR="0009631B" w:rsidRPr="00F63CFC" w:rsidRDefault="001650F8" w:rsidP="00270606">
      <w:pPr>
        <w:pStyle w:val="ListParagraph"/>
        <w:numPr>
          <w:ilvl w:val="0"/>
          <w:numId w:val="3"/>
        </w:numPr>
        <w:rPr>
          <w:sz w:val="22"/>
          <w:szCs w:val="22"/>
        </w:rPr>
      </w:pPr>
      <w:r w:rsidRPr="00F63CFC">
        <w:rPr>
          <w:sz w:val="22"/>
          <w:szCs w:val="22"/>
        </w:rPr>
        <w:lastRenderedPageBreak/>
        <w:t>Digital and portable across settings and phases.</w:t>
      </w:r>
    </w:p>
    <w:p w14:paraId="4D60CAA4" w14:textId="77777777" w:rsidR="0009631B" w:rsidRPr="00F63CFC" w:rsidRDefault="001650F8" w:rsidP="00270606">
      <w:pPr>
        <w:pStyle w:val="ListParagraph"/>
        <w:numPr>
          <w:ilvl w:val="0"/>
          <w:numId w:val="3"/>
        </w:numPr>
        <w:rPr>
          <w:sz w:val="22"/>
          <w:szCs w:val="22"/>
        </w:rPr>
      </w:pPr>
      <w:r w:rsidRPr="00F63CFC">
        <w:rPr>
          <w:sz w:val="22"/>
          <w:szCs w:val="22"/>
        </w:rPr>
        <w:t>Co-produced with families.</w:t>
      </w:r>
    </w:p>
    <w:p w14:paraId="154AC65B" w14:textId="77777777" w:rsidR="0009631B" w:rsidRDefault="001650F8" w:rsidP="00270606">
      <w:pPr>
        <w:pStyle w:val="ListParagraph"/>
        <w:numPr>
          <w:ilvl w:val="0"/>
          <w:numId w:val="3"/>
        </w:numPr>
        <w:rPr>
          <w:sz w:val="22"/>
          <w:szCs w:val="22"/>
        </w:rPr>
      </w:pPr>
      <w:r w:rsidRPr="00F63CFC">
        <w:rPr>
          <w:sz w:val="22"/>
          <w:szCs w:val="22"/>
        </w:rPr>
        <w:t>Reviewed regularly.</w:t>
      </w:r>
    </w:p>
    <w:p w14:paraId="1A36CCCF" w14:textId="77777777" w:rsidR="00F63CFC" w:rsidRPr="00F63CFC" w:rsidRDefault="00F63CFC" w:rsidP="00F63CFC">
      <w:pPr>
        <w:pStyle w:val="ListParagraph"/>
        <w:ind w:left="720"/>
        <w:rPr>
          <w:sz w:val="22"/>
          <w:szCs w:val="22"/>
        </w:rPr>
      </w:pPr>
    </w:p>
    <w:p w14:paraId="70A83D30" w14:textId="77777777" w:rsidR="0009631B" w:rsidRDefault="001650F8" w:rsidP="00F63CFC">
      <w:pPr>
        <w:rPr>
          <w:sz w:val="22"/>
          <w:szCs w:val="22"/>
        </w:rPr>
      </w:pPr>
      <w:r w:rsidRPr="00F63CFC">
        <w:rPr>
          <w:sz w:val="22"/>
          <w:szCs w:val="22"/>
        </w:rPr>
        <w:t>Examples of support at this level include small-group interventions, curriculum adaptations, additional adult support, structured pastoral or behavioural approaches, and reasonable adjustments.</w:t>
      </w:r>
    </w:p>
    <w:p w14:paraId="37144A56" w14:textId="77777777" w:rsidR="00F63CFC" w:rsidRPr="00F63CFC" w:rsidRDefault="00F63CFC" w:rsidP="00F63CFC">
      <w:pPr>
        <w:rPr>
          <w:sz w:val="22"/>
          <w:szCs w:val="22"/>
        </w:rPr>
      </w:pPr>
    </w:p>
    <w:p w14:paraId="01405A1F" w14:textId="77777777" w:rsidR="0009631B" w:rsidRDefault="001650F8" w:rsidP="00F63CFC">
      <w:pPr>
        <w:pStyle w:val="Heading2"/>
        <w:spacing w:before="0" w:after="0"/>
        <w:rPr>
          <w:color w:val="auto"/>
          <w:sz w:val="22"/>
          <w:szCs w:val="22"/>
        </w:rPr>
      </w:pPr>
      <w:r w:rsidRPr="00F63CFC">
        <w:rPr>
          <w:color w:val="auto"/>
          <w:sz w:val="22"/>
          <w:szCs w:val="22"/>
        </w:rPr>
        <w:t>What is being consulted on?</w:t>
      </w:r>
    </w:p>
    <w:p w14:paraId="66D96528" w14:textId="77777777" w:rsidR="00F63CFC" w:rsidRPr="00F63CFC" w:rsidRDefault="00F63CFC" w:rsidP="00F63CFC">
      <w:pPr>
        <w:pStyle w:val="Heading2"/>
        <w:spacing w:before="0" w:after="0"/>
        <w:rPr>
          <w:color w:val="auto"/>
          <w:sz w:val="22"/>
          <w:szCs w:val="22"/>
        </w:rPr>
      </w:pPr>
    </w:p>
    <w:p w14:paraId="1CCDF828" w14:textId="77777777" w:rsidR="0009631B" w:rsidRPr="00F63CFC" w:rsidRDefault="001650F8" w:rsidP="00270606">
      <w:pPr>
        <w:pStyle w:val="ListParagraph"/>
        <w:numPr>
          <w:ilvl w:val="0"/>
          <w:numId w:val="3"/>
        </w:numPr>
        <w:rPr>
          <w:sz w:val="22"/>
          <w:szCs w:val="22"/>
        </w:rPr>
      </w:pPr>
      <w:r w:rsidRPr="00F63CFC">
        <w:rPr>
          <w:sz w:val="22"/>
          <w:szCs w:val="22"/>
        </w:rPr>
        <w:t>How Targeted support should operate in practice.</w:t>
      </w:r>
    </w:p>
    <w:p w14:paraId="24B5E668" w14:textId="77777777" w:rsidR="0009631B" w:rsidRPr="00F63CFC" w:rsidRDefault="001650F8" w:rsidP="00270606">
      <w:pPr>
        <w:pStyle w:val="ListParagraph"/>
        <w:numPr>
          <w:ilvl w:val="0"/>
          <w:numId w:val="3"/>
        </w:numPr>
        <w:rPr>
          <w:sz w:val="22"/>
          <w:szCs w:val="22"/>
        </w:rPr>
      </w:pPr>
      <w:r w:rsidRPr="00F63CFC">
        <w:rPr>
          <w:sz w:val="22"/>
          <w:szCs w:val="22"/>
        </w:rPr>
        <w:t>What good-quality ISPs should contain.</w:t>
      </w:r>
    </w:p>
    <w:p w14:paraId="7154FAE2" w14:textId="77777777" w:rsidR="0009631B" w:rsidRPr="00F63CFC" w:rsidRDefault="001650F8" w:rsidP="00270606">
      <w:pPr>
        <w:pStyle w:val="ListParagraph"/>
        <w:numPr>
          <w:ilvl w:val="0"/>
          <w:numId w:val="3"/>
        </w:numPr>
        <w:rPr>
          <w:sz w:val="22"/>
          <w:szCs w:val="22"/>
        </w:rPr>
      </w:pPr>
      <w:r w:rsidRPr="00F63CFC">
        <w:rPr>
          <w:sz w:val="22"/>
          <w:szCs w:val="22"/>
        </w:rPr>
        <w:t>How schools should evidence effectiveness and quality.</w:t>
      </w:r>
    </w:p>
    <w:p w14:paraId="6429A327" w14:textId="77777777" w:rsidR="0009631B" w:rsidRPr="00F63CFC" w:rsidRDefault="0009631B" w:rsidP="00F63CFC">
      <w:pPr>
        <w:rPr>
          <w:sz w:val="22"/>
          <w:szCs w:val="22"/>
        </w:rPr>
      </w:pPr>
    </w:p>
    <w:p w14:paraId="2C64F8BE" w14:textId="77777777"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Level 3: Targeted Plus Support</w:t>
      </w:r>
    </w:p>
    <w:p w14:paraId="502A0F67" w14:textId="77777777" w:rsidR="00F63CFC" w:rsidRPr="00F63CFC" w:rsidRDefault="00F63CFC" w:rsidP="00F63CFC">
      <w:pPr>
        <w:rPr>
          <w:b/>
          <w:bCs/>
          <w:color w:val="0B769F" w:themeColor="accent4" w:themeShade="BF"/>
          <w:sz w:val="28"/>
          <w:szCs w:val="28"/>
          <w:u w:val="single"/>
        </w:rPr>
      </w:pPr>
    </w:p>
    <w:p w14:paraId="38A7683E" w14:textId="77777777" w:rsidR="0009631B" w:rsidRDefault="001650F8" w:rsidP="00F63CFC">
      <w:pPr>
        <w:pStyle w:val="Heading2"/>
        <w:spacing w:before="0" w:after="0"/>
        <w:rPr>
          <w:color w:val="auto"/>
          <w:sz w:val="22"/>
          <w:szCs w:val="22"/>
        </w:rPr>
      </w:pPr>
      <w:r w:rsidRPr="00F63CFC">
        <w:rPr>
          <w:color w:val="auto"/>
          <w:sz w:val="22"/>
          <w:szCs w:val="22"/>
        </w:rPr>
        <w:t>What is being proposed?</w:t>
      </w:r>
    </w:p>
    <w:p w14:paraId="7DF33C0F" w14:textId="77777777" w:rsidR="00F63CFC" w:rsidRPr="00F63CFC" w:rsidRDefault="00F63CFC" w:rsidP="00F63CFC">
      <w:pPr>
        <w:pStyle w:val="Heading2"/>
        <w:spacing w:before="0" w:after="0"/>
        <w:rPr>
          <w:color w:val="auto"/>
          <w:sz w:val="22"/>
          <w:szCs w:val="22"/>
        </w:rPr>
      </w:pPr>
    </w:p>
    <w:p w14:paraId="0956D67D" w14:textId="77777777" w:rsidR="0009631B" w:rsidRDefault="001650F8" w:rsidP="00F63CFC">
      <w:pPr>
        <w:rPr>
          <w:sz w:val="22"/>
          <w:szCs w:val="22"/>
        </w:rPr>
      </w:pPr>
      <w:r w:rsidRPr="00F63CFC">
        <w:rPr>
          <w:sz w:val="22"/>
          <w:szCs w:val="22"/>
        </w:rPr>
        <w:t>Targeted Plus support provides more intensive help for children whose needs require specialist input but not full specialist placement. Children remain in mainstream education with an ongoing ISP, while accessing two new system-wide enablers:</w:t>
      </w:r>
    </w:p>
    <w:p w14:paraId="6BE5D324" w14:textId="77777777" w:rsidR="00F63CFC" w:rsidRPr="00F63CFC" w:rsidRDefault="00F63CFC" w:rsidP="00F63CFC">
      <w:pPr>
        <w:rPr>
          <w:sz w:val="22"/>
          <w:szCs w:val="22"/>
        </w:rPr>
      </w:pPr>
    </w:p>
    <w:p w14:paraId="39A702D2" w14:textId="04EECBC5" w:rsidR="0009631B" w:rsidRDefault="001650F8" w:rsidP="00F63CFC">
      <w:pPr>
        <w:rPr>
          <w:sz w:val="22"/>
          <w:szCs w:val="22"/>
        </w:rPr>
      </w:pPr>
      <w:r w:rsidRPr="00F63CFC">
        <w:rPr>
          <w:b/>
          <w:bCs/>
          <w:sz w:val="22"/>
          <w:szCs w:val="22"/>
        </w:rPr>
        <w:t>Experts at Hand</w:t>
      </w:r>
      <w:r w:rsidR="00F63CFC" w:rsidRPr="00F63CFC">
        <w:rPr>
          <w:b/>
          <w:bCs/>
          <w:sz w:val="22"/>
          <w:szCs w:val="22"/>
        </w:rPr>
        <w:t xml:space="preserve"> - </w:t>
      </w:r>
      <w:r w:rsidRPr="00F63CFC">
        <w:rPr>
          <w:sz w:val="22"/>
          <w:szCs w:val="22"/>
        </w:rPr>
        <w:t>A new programme bringing education and health professionals directly into mainstream settings to advise staff, work directly with children, build workforce capability and reduce reliance on assessments and reports. This is a system-wide enabler available across all mainstream settings, funded with £1.8bn nationally.</w:t>
      </w:r>
    </w:p>
    <w:p w14:paraId="5C5D4501" w14:textId="77777777" w:rsidR="00F63CFC" w:rsidRPr="00F63CFC" w:rsidRDefault="00F63CFC" w:rsidP="00F63CFC">
      <w:pPr>
        <w:rPr>
          <w:sz w:val="22"/>
          <w:szCs w:val="22"/>
        </w:rPr>
      </w:pPr>
    </w:p>
    <w:p w14:paraId="1C0F09E1" w14:textId="63299716" w:rsidR="0009631B" w:rsidRPr="00F63CFC" w:rsidRDefault="001650F8" w:rsidP="00F63CFC">
      <w:pPr>
        <w:rPr>
          <w:sz w:val="22"/>
          <w:szCs w:val="22"/>
        </w:rPr>
      </w:pPr>
      <w:r w:rsidRPr="00F63CFC">
        <w:rPr>
          <w:b/>
          <w:bCs/>
          <w:sz w:val="22"/>
          <w:szCs w:val="22"/>
        </w:rPr>
        <w:t>Inclusion Bases</w:t>
      </w:r>
      <w:r w:rsidR="00F63CFC" w:rsidRPr="00F63CFC">
        <w:rPr>
          <w:b/>
          <w:bCs/>
          <w:sz w:val="22"/>
          <w:szCs w:val="22"/>
        </w:rPr>
        <w:t xml:space="preserve"> - </w:t>
      </w:r>
      <w:r w:rsidRPr="00F63CFC">
        <w:rPr>
          <w:sz w:val="22"/>
          <w:szCs w:val="22"/>
        </w:rPr>
        <w:t>Physical and organisational provision within mainstream settings, enabling specialist help without removing children from mainstream education. There are two types:</w:t>
      </w:r>
    </w:p>
    <w:p w14:paraId="07FAC26D" w14:textId="1DE4F728" w:rsidR="0009631B" w:rsidRPr="00F63CFC" w:rsidRDefault="001650F8" w:rsidP="00270606">
      <w:pPr>
        <w:pStyle w:val="ListParagraph"/>
        <w:numPr>
          <w:ilvl w:val="0"/>
          <w:numId w:val="3"/>
        </w:numPr>
        <w:rPr>
          <w:sz w:val="22"/>
          <w:szCs w:val="22"/>
        </w:rPr>
      </w:pPr>
      <w:r w:rsidRPr="00F63CFC">
        <w:rPr>
          <w:sz w:val="22"/>
          <w:szCs w:val="22"/>
        </w:rPr>
        <w:t>Support Bases — linked to Targeted support</w:t>
      </w:r>
      <w:r w:rsidR="00313E90">
        <w:rPr>
          <w:sz w:val="22"/>
          <w:szCs w:val="22"/>
        </w:rPr>
        <w:t xml:space="preserve"> (</w:t>
      </w:r>
      <w:r w:rsidR="00AE7519">
        <w:rPr>
          <w:sz w:val="22"/>
          <w:szCs w:val="22"/>
        </w:rPr>
        <w:t>organised by schools and trusts)</w:t>
      </w:r>
      <w:r w:rsidRPr="00F63CFC">
        <w:rPr>
          <w:sz w:val="22"/>
          <w:szCs w:val="22"/>
        </w:rPr>
        <w:t>.</w:t>
      </w:r>
    </w:p>
    <w:p w14:paraId="3A01803A" w14:textId="47C05E96" w:rsidR="0009631B" w:rsidRDefault="001650F8" w:rsidP="00270606">
      <w:pPr>
        <w:pStyle w:val="ListParagraph"/>
        <w:numPr>
          <w:ilvl w:val="0"/>
          <w:numId w:val="3"/>
        </w:numPr>
        <w:rPr>
          <w:sz w:val="22"/>
          <w:szCs w:val="22"/>
        </w:rPr>
      </w:pPr>
      <w:r w:rsidRPr="00F63CFC">
        <w:rPr>
          <w:sz w:val="22"/>
          <w:szCs w:val="22"/>
        </w:rPr>
        <w:t xml:space="preserve">Specialist Bases — </w:t>
      </w:r>
      <w:r w:rsidR="00AE7519">
        <w:rPr>
          <w:sz w:val="22"/>
          <w:szCs w:val="22"/>
        </w:rPr>
        <w:t xml:space="preserve">commissioned by the LA </w:t>
      </w:r>
      <w:r w:rsidRPr="00F63CFC">
        <w:rPr>
          <w:sz w:val="22"/>
          <w:szCs w:val="22"/>
        </w:rPr>
        <w:t>linked to Specialist Provision Packages (see Level 4 below).</w:t>
      </w:r>
    </w:p>
    <w:p w14:paraId="13F1C045" w14:textId="77777777" w:rsidR="00F63CFC" w:rsidRPr="00F63CFC" w:rsidRDefault="00F63CFC" w:rsidP="00270606">
      <w:pPr>
        <w:pStyle w:val="ListParagraph"/>
        <w:ind w:left="720"/>
        <w:rPr>
          <w:sz w:val="22"/>
          <w:szCs w:val="22"/>
        </w:rPr>
      </w:pPr>
    </w:p>
    <w:p w14:paraId="66A1067D" w14:textId="77777777" w:rsidR="0009631B" w:rsidRDefault="001650F8" w:rsidP="00F63CFC">
      <w:pPr>
        <w:pStyle w:val="Heading2"/>
        <w:spacing w:before="0" w:after="0"/>
        <w:rPr>
          <w:color w:val="auto"/>
          <w:sz w:val="22"/>
          <w:szCs w:val="22"/>
        </w:rPr>
      </w:pPr>
      <w:r w:rsidRPr="00F63CFC">
        <w:rPr>
          <w:color w:val="auto"/>
          <w:sz w:val="22"/>
          <w:szCs w:val="22"/>
        </w:rPr>
        <w:t>What is being consulted on?</w:t>
      </w:r>
    </w:p>
    <w:p w14:paraId="4B79DCE7" w14:textId="77777777" w:rsidR="00F63CFC" w:rsidRPr="00F63CFC" w:rsidRDefault="00F63CFC" w:rsidP="00F63CFC">
      <w:pPr>
        <w:pStyle w:val="Heading2"/>
        <w:spacing w:before="0" w:after="0"/>
        <w:rPr>
          <w:color w:val="auto"/>
          <w:sz w:val="22"/>
          <w:szCs w:val="22"/>
        </w:rPr>
      </w:pPr>
    </w:p>
    <w:p w14:paraId="4A82C5F2" w14:textId="77777777" w:rsidR="0009631B" w:rsidRPr="00F63CFC" w:rsidRDefault="001650F8" w:rsidP="00270606">
      <w:pPr>
        <w:pStyle w:val="ListParagraph"/>
        <w:numPr>
          <w:ilvl w:val="0"/>
          <w:numId w:val="3"/>
        </w:numPr>
        <w:rPr>
          <w:sz w:val="22"/>
          <w:szCs w:val="22"/>
        </w:rPr>
      </w:pPr>
      <w:r w:rsidRPr="00F63CFC">
        <w:rPr>
          <w:sz w:val="22"/>
          <w:szCs w:val="22"/>
        </w:rPr>
        <w:t>How Experts at Hand should operate locally — with LAs having a key commissioning role.</w:t>
      </w:r>
    </w:p>
    <w:p w14:paraId="15F0BB45" w14:textId="77777777" w:rsidR="0009631B" w:rsidRPr="00F63CFC" w:rsidRDefault="001650F8" w:rsidP="00270606">
      <w:pPr>
        <w:pStyle w:val="ListParagraph"/>
        <w:numPr>
          <w:ilvl w:val="0"/>
          <w:numId w:val="3"/>
        </w:numPr>
        <w:rPr>
          <w:sz w:val="22"/>
          <w:szCs w:val="22"/>
        </w:rPr>
      </w:pPr>
      <w:r w:rsidRPr="00F63CFC">
        <w:rPr>
          <w:sz w:val="22"/>
          <w:szCs w:val="22"/>
        </w:rPr>
        <w:t>How Inclusion Bases should be commissioned and quality-assured.</w:t>
      </w:r>
    </w:p>
    <w:p w14:paraId="4F4CFE30" w14:textId="77777777" w:rsidR="0009631B" w:rsidRPr="00F63CFC" w:rsidRDefault="001650F8" w:rsidP="00270606">
      <w:pPr>
        <w:pStyle w:val="ListParagraph"/>
        <w:numPr>
          <w:ilvl w:val="0"/>
          <w:numId w:val="3"/>
        </w:numPr>
        <w:rPr>
          <w:sz w:val="22"/>
          <w:szCs w:val="22"/>
        </w:rPr>
      </w:pPr>
      <w:r w:rsidRPr="00F63CFC">
        <w:rPr>
          <w:sz w:val="22"/>
          <w:szCs w:val="22"/>
        </w:rPr>
        <w:t>How Targeted Plus support should be governed and evaluated.</w:t>
      </w:r>
    </w:p>
    <w:p w14:paraId="57C05326" w14:textId="77777777" w:rsidR="0009631B" w:rsidRDefault="0009631B" w:rsidP="00F63CFC">
      <w:pPr>
        <w:rPr>
          <w:sz w:val="22"/>
          <w:szCs w:val="22"/>
        </w:rPr>
      </w:pPr>
    </w:p>
    <w:p w14:paraId="51B5AA0C" w14:textId="77777777" w:rsidR="00F63CFC" w:rsidRPr="00F63CFC" w:rsidRDefault="00F63CFC" w:rsidP="00F63CFC">
      <w:pPr>
        <w:rPr>
          <w:sz w:val="22"/>
          <w:szCs w:val="22"/>
        </w:rPr>
      </w:pPr>
    </w:p>
    <w:p w14:paraId="0842BF3C" w14:textId="77777777"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Level 4: Specialist Support and EHCP Reform</w:t>
      </w:r>
    </w:p>
    <w:p w14:paraId="79A9EAB1" w14:textId="77777777" w:rsidR="00F63CFC" w:rsidRPr="00F63CFC" w:rsidRDefault="00F63CFC" w:rsidP="00F63CFC">
      <w:pPr>
        <w:rPr>
          <w:b/>
          <w:bCs/>
          <w:color w:val="0B769F" w:themeColor="accent4" w:themeShade="BF"/>
          <w:sz w:val="28"/>
          <w:szCs w:val="28"/>
          <w:u w:val="single"/>
        </w:rPr>
      </w:pPr>
    </w:p>
    <w:p w14:paraId="03AF1FE4" w14:textId="77777777" w:rsidR="0009631B" w:rsidRDefault="001650F8" w:rsidP="00F63CFC">
      <w:pPr>
        <w:pStyle w:val="Heading2"/>
        <w:spacing w:before="0" w:after="0"/>
        <w:rPr>
          <w:color w:val="auto"/>
          <w:sz w:val="22"/>
          <w:szCs w:val="22"/>
        </w:rPr>
      </w:pPr>
      <w:r w:rsidRPr="00F63CFC">
        <w:rPr>
          <w:color w:val="auto"/>
          <w:sz w:val="22"/>
          <w:szCs w:val="22"/>
        </w:rPr>
        <w:t>What is being proposed?</w:t>
      </w:r>
    </w:p>
    <w:p w14:paraId="4BB39496" w14:textId="77777777" w:rsidR="00F63CFC" w:rsidRPr="00F63CFC" w:rsidRDefault="00F63CFC" w:rsidP="00F63CFC">
      <w:pPr>
        <w:pStyle w:val="Heading2"/>
        <w:spacing w:before="0" w:after="0"/>
        <w:rPr>
          <w:color w:val="auto"/>
          <w:sz w:val="22"/>
          <w:szCs w:val="22"/>
        </w:rPr>
      </w:pPr>
    </w:p>
    <w:p w14:paraId="70671F0E" w14:textId="77777777" w:rsidR="0009631B" w:rsidRDefault="001650F8" w:rsidP="00F63CFC">
      <w:pPr>
        <w:rPr>
          <w:sz w:val="22"/>
          <w:szCs w:val="22"/>
        </w:rPr>
      </w:pPr>
      <w:r w:rsidRPr="00F63CFC">
        <w:rPr>
          <w:sz w:val="22"/>
          <w:szCs w:val="22"/>
        </w:rPr>
        <w:t>A reformed specialist system built around Specialist Provision Packages — defined, evidence-based packages of support for children with the most complex needs. Key changes include:</w:t>
      </w:r>
    </w:p>
    <w:p w14:paraId="24DB4FDD" w14:textId="77777777" w:rsidR="00F63CFC" w:rsidRPr="00F63CFC" w:rsidRDefault="00F63CFC" w:rsidP="00F63CFC">
      <w:pPr>
        <w:rPr>
          <w:sz w:val="22"/>
          <w:szCs w:val="22"/>
        </w:rPr>
      </w:pPr>
    </w:p>
    <w:p w14:paraId="3F1F42E3" w14:textId="77777777" w:rsidR="0009631B" w:rsidRPr="00F63CFC" w:rsidRDefault="001650F8" w:rsidP="00270606">
      <w:pPr>
        <w:pStyle w:val="ListParagraph"/>
        <w:numPr>
          <w:ilvl w:val="0"/>
          <w:numId w:val="3"/>
        </w:numPr>
        <w:rPr>
          <w:sz w:val="22"/>
          <w:szCs w:val="22"/>
        </w:rPr>
      </w:pPr>
      <w:r w:rsidRPr="00F63CFC">
        <w:rPr>
          <w:sz w:val="22"/>
          <w:szCs w:val="22"/>
        </w:rPr>
        <w:t>EHCPs will guarantee access to a Specialist Provision Package and focus on outcomes rather than inputs.</w:t>
      </w:r>
    </w:p>
    <w:p w14:paraId="2D55E066" w14:textId="77777777" w:rsidR="0009631B" w:rsidRPr="00F63CFC" w:rsidRDefault="001650F8" w:rsidP="00270606">
      <w:pPr>
        <w:pStyle w:val="ListParagraph"/>
        <w:numPr>
          <w:ilvl w:val="0"/>
          <w:numId w:val="3"/>
        </w:numPr>
        <w:rPr>
          <w:sz w:val="22"/>
          <w:szCs w:val="22"/>
        </w:rPr>
      </w:pPr>
      <w:r w:rsidRPr="00F63CFC">
        <w:rPr>
          <w:sz w:val="22"/>
          <w:szCs w:val="22"/>
        </w:rPr>
        <w:t>Over time, only children requiring a Specialist Provision Package will need an EHCP — with most children supported via ISPs instead.</w:t>
      </w:r>
    </w:p>
    <w:p w14:paraId="528E6C0A" w14:textId="77777777" w:rsidR="0009631B" w:rsidRPr="00F63CFC" w:rsidRDefault="001650F8" w:rsidP="00270606">
      <w:pPr>
        <w:pStyle w:val="ListParagraph"/>
        <w:numPr>
          <w:ilvl w:val="0"/>
          <w:numId w:val="3"/>
        </w:numPr>
        <w:rPr>
          <w:sz w:val="22"/>
          <w:szCs w:val="22"/>
        </w:rPr>
      </w:pPr>
      <w:r w:rsidRPr="00F63CFC">
        <w:rPr>
          <w:sz w:val="22"/>
          <w:szCs w:val="22"/>
        </w:rPr>
        <w:t>Specialist support may be delivered in specialist settings or in mainstream settings via Specialist Inclusion Bases.</w:t>
      </w:r>
    </w:p>
    <w:p w14:paraId="3CD3A44F" w14:textId="77777777" w:rsidR="0009631B" w:rsidRDefault="001650F8" w:rsidP="00270606">
      <w:pPr>
        <w:pStyle w:val="ListParagraph"/>
        <w:numPr>
          <w:ilvl w:val="0"/>
          <w:numId w:val="3"/>
        </w:numPr>
        <w:rPr>
          <w:sz w:val="22"/>
          <w:szCs w:val="22"/>
        </w:rPr>
      </w:pPr>
      <w:r w:rsidRPr="00F63CFC">
        <w:rPr>
          <w:sz w:val="22"/>
          <w:szCs w:val="22"/>
        </w:rPr>
        <w:t>ISPs will provide continuity across transitions and settings at all levels.</w:t>
      </w:r>
    </w:p>
    <w:p w14:paraId="16808EAA" w14:textId="77777777" w:rsidR="00F63CFC" w:rsidRDefault="00F63CFC" w:rsidP="00270606">
      <w:pPr>
        <w:pStyle w:val="ListParagraph"/>
        <w:ind w:left="720"/>
        <w:rPr>
          <w:sz w:val="22"/>
          <w:szCs w:val="22"/>
        </w:rPr>
      </w:pPr>
    </w:p>
    <w:p w14:paraId="67160598" w14:textId="77777777" w:rsidR="00002023" w:rsidRPr="00F63CFC" w:rsidRDefault="00002023" w:rsidP="00270606">
      <w:pPr>
        <w:pStyle w:val="ListParagraph"/>
        <w:ind w:left="720"/>
        <w:rPr>
          <w:sz w:val="22"/>
          <w:szCs w:val="22"/>
        </w:rPr>
      </w:pPr>
    </w:p>
    <w:p w14:paraId="1E533B06" w14:textId="77777777" w:rsidR="0009631B" w:rsidRDefault="001650F8" w:rsidP="00F63CFC">
      <w:pPr>
        <w:pStyle w:val="Heading2"/>
        <w:spacing w:before="0" w:after="0"/>
        <w:rPr>
          <w:color w:val="auto"/>
          <w:sz w:val="22"/>
          <w:szCs w:val="22"/>
        </w:rPr>
      </w:pPr>
      <w:r w:rsidRPr="00F63CFC">
        <w:rPr>
          <w:color w:val="auto"/>
          <w:sz w:val="22"/>
          <w:szCs w:val="22"/>
        </w:rPr>
        <w:lastRenderedPageBreak/>
        <w:t>What is being consulted on?</w:t>
      </w:r>
    </w:p>
    <w:p w14:paraId="2C09188B" w14:textId="77777777" w:rsidR="00F63CFC" w:rsidRPr="00F63CFC" w:rsidRDefault="00F63CFC" w:rsidP="00F63CFC">
      <w:pPr>
        <w:pStyle w:val="Heading2"/>
        <w:spacing w:before="0" w:after="0"/>
        <w:rPr>
          <w:color w:val="auto"/>
          <w:sz w:val="22"/>
          <w:szCs w:val="22"/>
        </w:rPr>
      </w:pPr>
    </w:p>
    <w:p w14:paraId="7A0C243A" w14:textId="77777777" w:rsidR="0009631B" w:rsidRPr="00F63CFC" w:rsidRDefault="001650F8" w:rsidP="00270606">
      <w:pPr>
        <w:pStyle w:val="ListParagraph"/>
        <w:numPr>
          <w:ilvl w:val="0"/>
          <w:numId w:val="3"/>
        </w:numPr>
        <w:rPr>
          <w:sz w:val="22"/>
          <w:szCs w:val="22"/>
        </w:rPr>
      </w:pPr>
      <w:r w:rsidRPr="00F63CFC">
        <w:rPr>
          <w:sz w:val="22"/>
          <w:szCs w:val="22"/>
        </w:rPr>
        <w:t>The design and scope of Specialist Provision Packages.</w:t>
      </w:r>
    </w:p>
    <w:p w14:paraId="3ED6B71D" w14:textId="77777777" w:rsidR="0009631B" w:rsidRPr="00F63CFC" w:rsidRDefault="001650F8" w:rsidP="00270606">
      <w:pPr>
        <w:pStyle w:val="ListParagraph"/>
        <w:numPr>
          <w:ilvl w:val="0"/>
          <w:numId w:val="3"/>
        </w:numPr>
        <w:rPr>
          <w:sz w:val="22"/>
          <w:szCs w:val="22"/>
        </w:rPr>
      </w:pPr>
      <w:r w:rsidRPr="00F63CFC">
        <w:rPr>
          <w:sz w:val="22"/>
          <w:szCs w:val="22"/>
        </w:rPr>
        <w:t>How EHCPs should change in content and focus.</w:t>
      </w:r>
    </w:p>
    <w:p w14:paraId="4E3B98B2" w14:textId="77777777" w:rsidR="0009631B" w:rsidRPr="00F63CFC" w:rsidRDefault="001650F8" w:rsidP="00270606">
      <w:pPr>
        <w:pStyle w:val="ListParagraph"/>
        <w:numPr>
          <w:ilvl w:val="0"/>
          <w:numId w:val="3"/>
        </w:numPr>
        <w:rPr>
          <w:sz w:val="22"/>
          <w:szCs w:val="22"/>
        </w:rPr>
      </w:pPr>
      <w:r w:rsidRPr="00F63CFC">
        <w:rPr>
          <w:sz w:val="22"/>
          <w:szCs w:val="22"/>
        </w:rPr>
        <w:t>Parental preference and placement decisions.</w:t>
      </w:r>
    </w:p>
    <w:p w14:paraId="5F5DB13D" w14:textId="77777777" w:rsidR="0009631B" w:rsidRPr="00F63CFC" w:rsidRDefault="001650F8" w:rsidP="00270606">
      <w:pPr>
        <w:pStyle w:val="ListParagraph"/>
        <w:numPr>
          <w:ilvl w:val="0"/>
          <w:numId w:val="3"/>
        </w:numPr>
        <w:rPr>
          <w:sz w:val="22"/>
          <w:szCs w:val="22"/>
        </w:rPr>
      </w:pPr>
      <w:r w:rsidRPr="00F63CFC">
        <w:rPr>
          <w:sz w:val="22"/>
          <w:szCs w:val="22"/>
        </w:rPr>
        <w:t>Transition arrangements to the new system.</w:t>
      </w:r>
    </w:p>
    <w:p w14:paraId="2865636D" w14:textId="77777777" w:rsidR="0009631B" w:rsidRPr="00F63CFC" w:rsidRDefault="0009631B" w:rsidP="00F63CFC">
      <w:pPr>
        <w:rPr>
          <w:sz w:val="22"/>
          <w:szCs w:val="22"/>
        </w:rPr>
      </w:pPr>
    </w:p>
    <w:p w14:paraId="54A42683" w14:textId="77777777" w:rsidR="0009631B" w:rsidRDefault="001650F8" w:rsidP="00F63CFC">
      <w:pPr>
        <w:rPr>
          <w:b/>
          <w:bCs/>
          <w:color w:val="0B769F" w:themeColor="accent4" w:themeShade="BF"/>
          <w:sz w:val="28"/>
          <w:szCs w:val="28"/>
          <w:u w:val="single"/>
        </w:rPr>
      </w:pPr>
      <w:r w:rsidRPr="00F63CFC">
        <w:rPr>
          <w:b/>
          <w:bCs/>
          <w:color w:val="0B769F" w:themeColor="accent4" w:themeShade="BF"/>
          <w:sz w:val="28"/>
          <w:szCs w:val="28"/>
          <w:u w:val="single"/>
        </w:rPr>
        <w:t>Funding and Resource Reform</w:t>
      </w:r>
    </w:p>
    <w:p w14:paraId="241FD611" w14:textId="77777777" w:rsidR="00F63CFC" w:rsidRPr="00F63CFC" w:rsidRDefault="00F63CFC" w:rsidP="00F63CFC">
      <w:pPr>
        <w:rPr>
          <w:b/>
          <w:bCs/>
          <w:color w:val="0B769F" w:themeColor="accent4" w:themeShade="BF"/>
          <w:sz w:val="28"/>
          <w:szCs w:val="28"/>
          <w:u w:val="single"/>
        </w:rPr>
      </w:pPr>
    </w:p>
    <w:p w14:paraId="3866483B" w14:textId="77777777" w:rsidR="0009631B" w:rsidRDefault="001650F8" w:rsidP="00F63CFC">
      <w:pPr>
        <w:pStyle w:val="Heading2"/>
        <w:spacing w:before="0" w:after="0"/>
        <w:rPr>
          <w:color w:val="auto"/>
          <w:sz w:val="22"/>
          <w:szCs w:val="22"/>
        </w:rPr>
      </w:pPr>
      <w:r w:rsidRPr="00F63CFC">
        <w:rPr>
          <w:color w:val="auto"/>
          <w:sz w:val="22"/>
          <w:szCs w:val="22"/>
        </w:rPr>
        <w:t>The headline investment</w:t>
      </w:r>
    </w:p>
    <w:p w14:paraId="51C61932" w14:textId="77777777" w:rsidR="00F63CFC" w:rsidRPr="00F63CFC" w:rsidRDefault="00F63CFC" w:rsidP="00F63CFC">
      <w:pPr>
        <w:pStyle w:val="Heading2"/>
        <w:spacing w:before="0" w:after="0"/>
        <w:rPr>
          <w:color w:val="auto"/>
          <w:sz w:val="22"/>
          <w:szCs w:val="22"/>
        </w:rPr>
      </w:pPr>
    </w:p>
    <w:p w14:paraId="46EDD4B4" w14:textId="100C03B3" w:rsidR="0009631B" w:rsidRPr="00F63CFC" w:rsidRDefault="001650F8" w:rsidP="00F63CFC">
      <w:pPr>
        <w:rPr>
          <w:sz w:val="22"/>
          <w:szCs w:val="22"/>
        </w:rPr>
      </w:pPr>
      <w:r w:rsidRPr="00F63CFC">
        <w:rPr>
          <w:sz w:val="22"/>
          <w:szCs w:val="22"/>
        </w:rPr>
        <w:t>The government is committing over £7bn of additional SEND investment</w:t>
      </w:r>
      <w:r w:rsidR="009F4B98">
        <w:rPr>
          <w:sz w:val="22"/>
          <w:szCs w:val="22"/>
        </w:rPr>
        <w:t xml:space="preserve"> (revenue and Capital)</w:t>
      </w:r>
      <w:r w:rsidRPr="00F63CFC">
        <w:rPr>
          <w:sz w:val="22"/>
          <w:szCs w:val="22"/>
        </w:rPr>
        <w:t>, frontloaded ahead of legislative change. This is intended to build the conditions for the reformed system before new statutory duties come into force.</w:t>
      </w:r>
      <w:r w:rsidR="001D37A2">
        <w:rPr>
          <w:sz w:val="22"/>
          <w:szCs w:val="22"/>
        </w:rPr>
        <w:t xml:space="preserve"> We do not yet know </w:t>
      </w:r>
      <w:r w:rsidR="00BA0694">
        <w:rPr>
          <w:sz w:val="22"/>
          <w:szCs w:val="22"/>
        </w:rPr>
        <w:t>the value of Kirklees allocations for each of these areas.</w:t>
      </w:r>
    </w:p>
    <w:p w14:paraId="2D05CBFE" w14:textId="77777777" w:rsidR="0009631B" w:rsidRPr="00F63CFC" w:rsidRDefault="0009631B" w:rsidP="00F63CFC">
      <w:pPr>
        <w:rPr>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4200"/>
        <w:gridCol w:w="3426"/>
      </w:tblGrid>
      <w:tr w:rsidR="0009631B" w:rsidRPr="00F63CFC" w14:paraId="66539184" w14:textId="77777777" w:rsidTr="00F63CFC">
        <w:tc>
          <w:tcPr>
            <w:tcW w:w="1400" w:type="dxa"/>
            <w:tcBorders>
              <w:top w:val="single" w:sz="1" w:space="0" w:color="CCCCCC"/>
              <w:left w:val="single" w:sz="1" w:space="0" w:color="CCCCCC"/>
              <w:bottom w:val="single" w:sz="1" w:space="0" w:color="CCCCCC"/>
              <w:right w:val="single" w:sz="1" w:space="0" w:color="CCCCCC"/>
            </w:tcBorders>
            <w:shd w:val="clear" w:color="auto" w:fill="0B769F" w:themeFill="accent4" w:themeFillShade="BF"/>
            <w:tcMar>
              <w:top w:w="80" w:type="dxa"/>
              <w:left w:w="120" w:type="dxa"/>
              <w:bottom w:w="80" w:type="dxa"/>
              <w:right w:w="120" w:type="dxa"/>
            </w:tcMar>
          </w:tcPr>
          <w:p w14:paraId="526F9781" w14:textId="77777777" w:rsidR="0009631B" w:rsidRPr="00F63CFC" w:rsidRDefault="001650F8" w:rsidP="00F63CFC">
            <w:pPr>
              <w:rPr>
                <w:sz w:val="22"/>
                <w:szCs w:val="22"/>
              </w:rPr>
            </w:pPr>
            <w:r w:rsidRPr="00F63CFC">
              <w:rPr>
                <w:b/>
                <w:bCs/>
                <w:color w:val="FFFFFF"/>
                <w:sz w:val="22"/>
                <w:szCs w:val="22"/>
              </w:rPr>
              <w:t>Amount</w:t>
            </w:r>
          </w:p>
        </w:tc>
        <w:tc>
          <w:tcPr>
            <w:tcW w:w="4200" w:type="dxa"/>
            <w:tcBorders>
              <w:top w:val="single" w:sz="1" w:space="0" w:color="CCCCCC"/>
              <w:left w:val="single" w:sz="1" w:space="0" w:color="CCCCCC"/>
              <w:bottom w:val="single" w:sz="1" w:space="0" w:color="CCCCCC"/>
              <w:right w:val="single" w:sz="1" w:space="0" w:color="CCCCCC"/>
            </w:tcBorders>
            <w:shd w:val="clear" w:color="auto" w:fill="0B769F" w:themeFill="accent4" w:themeFillShade="BF"/>
            <w:tcMar>
              <w:top w:w="80" w:type="dxa"/>
              <w:left w:w="120" w:type="dxa"/>
              <w:bottom w:w="80" w:type="dxa"/>
              <w:right w:w="120" w:type="dxa"/>
            </w:tcMar>
          </w:tcPr>
          <w:p w14:paraId="1E140D9A" w14:textId="77777777" w:rsidR="0009631B" w:rsidRPr="00F63CFC" w:rsidRDefault="001650F8" w:rsidP="00F63CFC">
            <w:pPr>
              <w:rPr>
                <w:sz w:val="22"/>
                <w:szCs w:val="22"/>
              </w:rPr>
            </w:pPr>
            <w:r w:rsidRPr="00F63CFC">
              <w:rPr>
                <w:b/>
                <w:bCs/>
                <w:color w:val="FFFFFF"/>
                <w:sz w:val="22"/>
                <w:szCs w:val="22"/>
              </w:rPr>
              <w:t>Fund</w:t>
            </w:r>
          </w:p>
        </w:tc>
        <w:tc>
          <w:tcPr>
            <w:tcW w:w="3426" w:type="dxa"/>
            <w:tcBorders>
              <w:top w:val="single" w:sz="1" w:space="0" w:color="CCCCCC"/>
              <w:left w:val="single" w:sz="1" w:space="0" w:color="CCCCCC"/>
              <w:bottom w:val="single" w:sz="1" w:space="0" w:color="CCCCCC"/>
              <w:right w:val="single" w:sz="1" w:space="0" w:color="CCCCCC"/>
            </w:tcBorders>
            <w:shd w:val="clear" w:color="auto" w:fill="0B769F" w:themeFill="accent4" w:themeFillShade="BF"/>
            <w:tcMar>
              <w:top w:w="80" w:type="dxa"/>
              <w:left w:w="120" w:type="dxa"/>
              <w:bottom w:w="80" w:type="dxa"/>
              <w:right w:w="120" w:type="dxa"/>
            </w:tcMar>
          </w:tcPr>
          <w:p w14:paraId="025A8957" w14:textId="77777777" w:rsidR="0009631B" w:rsidRPr="00F63CFC" w:rsidRDefault="001650F8" w:rsidP="00F63CFC">
            <w:pPr>
              <w:rPr>
                <w:sz w:val="22"/>
                <w:szCs w:val="22"/>
              </w:rPr>
            </w:pPr>
            <w:r w:rsidRPr="00F63CFC">
              <w:rPr>
                <w:b/>
                <w:bCs/>
                <w:color w:val="FFFFFF"/>
                <w:sz w:val="22"/>
                <w:szCs w:val="22"/>
              </w:rPr>
              <w:t>Purpose</w:t>
            </w:r>
          </w:p>
        </w:tc>
      </w:tr>
      <w:tr w:rsidR="0009631B" w:rsidRPr="00F63CFC" w14:paraId="1CD63F4B" w14:textId="77777777" w:rsidTr="00F63CFC">
        <w:tc>
          <w:tcPr>
            <w:tcW w:w="14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2F0256AA" w14:textId="77777777" w:rsidR="0009631B" w:rsidRPr="00F63CFC" w:rsidRDefault="001650F8" w:rsidP="00F63CFC">
            <w:pPr>
              <w:rPr>
                <w:sz w:val="22"/>
                <w:szCs w:val="22"/>
              </w:rPr>
            </w:pPr>
            <w:r w:rsidRPr="00F63CFC">
              <w:rPr>
                <w:b/>
                <w:bCs/>
                <w:sz w:val="22"/>
                <w:szCs w:val="22"/>
              </w:rPr>
              <w:t>£1.6bn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07C37CD8" w14:textId="77777777" w:rsidR="0009631B" w:rsidRPr="00F63CFC" w:rsidRDefault="001650F8" w:rsidP="00F63CFC">
            <w:pPr>
              <w:rPr>
                <w:sz w:val="22"/>
                <w:szCs w:val="22"/>
              </w:rPr>
            </w:pPr>
            <w:r w:rsidRPr="00F63CFC">
              <w:rPr>
                <w:sz w:val="22"/>
                <w:szCs w:val="22"/>
              </w:rPr>
              <w:t>Inclusive Mainstream Fund (over 3 years from 2026–27)</w:t>
            </w:r>
          </w:p>
        </w:tc>
        <w:tc>
          <w:tcPr>
            <w:tcW w:w="3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993013" w14:textId="77777777" w:rsidR="0009631B" w:rsidRPr="00F63CFC" w:rsidRDefault="001650F8" w:rsidP="00F63CFC">
            <w:pPr>
              <w:rPr>
                <w:sz w:val="22"/>
                <w:szCs w:val="22"/>
              </w:rPr>
            </w:pPr>
            <w:r w:rsidRPr="00F63CFC">
              <w:rPr>
                <w:sz w:val="22"/>
                <w:szCs w:val="22"/>
              </w:rPr>
              <w:t>Strengthen Universal Offer and early Targeted support</w:t>
            </w:r>
          </w:p>
        </w:tc>
      </w:tr>
      <w:tr w:rsidR="0009631B" w:rsidRPr="00F63CFC" w14:paraId="3741A567"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46D36C" w14:textId="77777777" w:rsidR="0009631B" w:rsidRPr="00F63CFC" w:rsidRDefault="001650F8" w:rsidP="00F63CFC">
            <w:pPr>
              <w:rPr>
                <w:sz w:val="22"/>
                <w:szCs w:val="22"/>
              </w:rPr>
            </w:pPr>
            <w:r w:rsidRPr="00F63CFC">
              <w:rPr>
                <w:b/>
                <w:bCs/>
                <w:sz w:val="22"/>
                <w:szCs w:val="22"/>
              </w:rPr>
              <w:t>£1.8bn</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29B265" w14:textId="77777777" w:rsidR="0009631B" w:rsidRPr="00F63CFC" w:rsidRDefault="001650F8" w:rsidP="00F63CFC">
            <w:pPr>
              <w:rPr>
                <w:sz w:val="22"/>
                <w:szCs w:val="22"/>
              </w:rPr>
            </w:pPr>
            <w:r w:rsidRPr="00F63CFC">
              <w:rPr>
                <w:sz w:val="22"/>
                <w:szCs w:val="22"/>
              </w:rPr>
              <w:t>Experts at Hand</w:t>
            </w:r>
          </w:p>
        </w:tc>
        <w:tc>
          <w:tcPr>
            <w:tcW w:w="3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ADB691" w14:textId="77777777" w:rsidR="0009631B" w:rsidRPr="00F63CFC" w:rsidRDefault="001650F8" w:rsidP="00F63CFC">
            <w:pPr>
              <w:rPr>
                <w:sz w:val="22"/>
                <w:szCs w:val="22"/>
              </w:rPr>
            </w:pPr>
            <w:r w:rsidRPr="00F63CFC">
              <w:rPr>
                <w:sz w:val="22"/>
                <w:szCs w:val="22"/>
              </w:rPr>
              <w:t>Embed education and health professionals in mainstream settings</w:t>
            </w:r>
          </w:p>
        </w:tc>
      </w:tr>
      <w:tr w:rsidR="0009631B" w:rsidRPr="00F63CFC" w14:paraId="165CAEA2" w14:textId="77777777" w:rsidTr="00F63CFC">
        <w:tc>
          <w:tcPr>
            <w:tcW w:w="14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6C733A41" w14:textId="77777777" w:rsidR="0009631B" w:rsidRPr="00F63CFC" w:rsidRDefault="001650F8" w:rsidP="00F63CFC">
            <w:pPr>
              <w:rPr>
                <w:sz w:val="22"/>
                <w:szCs w:val="22"/>
              </w:rPr>
            </w:pPr>
            <w:r w:rsidRPr="00F63CFC">
              <w:rPr>
                <w:b/>
                <w:bCs/>
                <w:sz w:val="22"/>
                <w:szCs w:val="22"/>
              </w:rPr>
              <w:t>£3.7bn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8EC7A7" w14:textId="77777777" w:rsidR="0009631B" w:rsidRPr="00F63CFC" w:rsidRDefault="001650F8" w:rsidP="00F63CFC">
            <w:pPr>
              <w:rPr>
                <w:sz w:val="22"/>
                <w:szCs w:val="22"/>
              </w:rPr>
            </w:pPr>
            <w:r w:rsidRPr="00F63CFC">
              <w:rPr>
                <w:sz w:val="22"/>
                <w:szCs w:val="22"/>
              </w:rPr>
              <w:t>Capital investment</w:t>
            </w:r>
          </w:p>
        </w:tc>
        <w:tc>
          <w:tcPr>
            <w:tcW w:w="3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8E04D8" w14:textId="77777777" w:rsidR="0009631B" w:rsidRPr="00F63CFC" w:rsidRDefault="001650F8" w:rsidP="00F63CFC">
            <w:pPr>
              <w:rPr>
                <w:sz w:val="22"/>
                <w:szCs w:val="22"/>
              </w:rPr>
            </w:pPr>
            <w:r w:rsidRPr="00F63CFC">
              <w:rPr>
                <w:sz w:val="22"/>
                <w:szCs w:val="22"/>
              </w:rPr>
              <w:t>Expand Inclusion Bases and specialist capacity</w:t>
            </w:r>
          </w:p>
        </w:tc>
      </w:tr>
      <w:tr w:rsidR="0009631B" w:rsidRPr="00F63CFC" w14:paraId="122AD8A3"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4405C" w14:textId="77777777" w:rsidR="0009631B" w:rsidRPr="00F63CFC" w:rsidRDefault="001650F8" w:rsidP="00F63CFC">
            <w:pPr>
              <w:rPr>
                <w:sz w:val="22"/>
                <w:szCs w:val="22"/>
              </w:rPr>
            </w:pPr>
            <w:r w:rsidRPr="00F63CFC">
              <w:rPr>
                <w:b/>
                <w:bCs/>
                <w:sz w:val="22"/>
                <w:szCs w:val="22"/>
              </w:rPr>
              <w:t>£200m+</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45FC83" w14:textId="77777777" w:rsidR="0009631B" w:rsidRPr="00F63CFC" w:rsidRDefault="001650F8" w:rsidP="00F63CFC">
            <w:pPr>
              <w:rPr>
                <w:sz w:val="22"/>
                <w:szCs w:val="22"/>
              </w:rPr>
            </w:pPr>
            <w:r w:rsidRPr="00F63CFC">
              <w:rPr>
                <w:sz w:val="22"/>
                <w:szCs w:val="22"/>
              </w:rPr>
              <w:t>National SEND workforce training</w:t>
            </w:r>
          </w:p>
        </w:tc>
        <w:tc>
          <w:tcPr>
            <w:tcW w:w="3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5076E" w14:textId="77777777" w:rsidR="0009631B" w:rsidRPr="00F63CFC" w:rsidRDefault="001650F8" w:rsidP="00F63CFC">
            <w:pPr>
              <w:rPr>
                <w:sz w:val="22"/>
                <w:szCs w:val="22"/>
              </w:rPr>
            </w:pPr>
            <w:r w:rsidRPr="00F63CFC">
              <w:rPr>
                <w:sz w:val="22"/>
                <w:szCs w:val="22"/>
              </w:rPr>
              <w:t>Build professional capability across the system</w:t>
            </w:r>
          </w:p>
        </w:tc>
      </w:tr>
    </w:tbl>
    <w:p w14:paraId="10C5983F" w14:textId="77777777" w:rsidR="0009631B" w:rsidRPr="00F63CFC" w:rsidRDefault="0009631B" w:rsidP="00F63CFC">
      <w:pPr>
        <w:rPr>
          <w:sz w:val="22"/>
          <w:szCs w:val="22"/>
        </w:rPr>
      </w:pPr>
    </w:p>
    <w:p w14:paraId="076E50C1" w14:textId="77777777" w:rsidR="0009631B" w:rsidRDefault="001650F8" w:rsidP="00F63CFC">
      <w:pPr>
        <w:pStyle w:val="Heading2"/>
        <w:spacing w:before="0" w:after="0"/>
        <w:rPr>
          <w:color w:val="auto"/>
          <w:sz w:val="22"/>
          <w:szCs w:val="22"/>
        </w:rPr>
      </w:pPr>
      <w:r w:rsidRPr="00F63CFC">
        <w:rPr>
          <w:color w:val="auto"/>
          <w:sz w:val="22"/>
          <w:szCs w:val="22"/>
        </w:rPr>
        <w:t>How funding will flow differently</w:t>
      </w:r>
    </w:p>
    <w:p w14:paraId="011362FC" w14:textId="77777777" w:rsidR="00F63CFC" w:rsidRPr="00F63CFC" w:rsidRDefault="00F63CFC" w:rsidP="00F63CFC">
      <w:pPr>
        <w:pStyle w:val="Heading2"/>
        <w:spacing w:before="0" w:after="0"/>
        <w:rPr>
          <w:color w:val="auto"/>
          <w:sz w:val="22"/>
          <w:szCs w:val="22"/>
        </w:rPr>
      </w:pPr>
    </w:p>
    <w:p w14:paraId="2E1CA181" w14:textId="77777777" w:rsidR="0009631B" w:rsidRDefault="001650F8" w:rsidP="00F63CFC">
      <w:pPr>
        <w:rPr>
          <w:sz w:val="22"/>
          <w:szCs w:val="22"/>
        </w:rPr>
      </w:pPr>
      <w:r w:rsidRPr="00F63CFC">
        <w:rPr>
          <w:sz w:val="22"/>
          <w:szCs w:val="22"/>
        </w:rPr>
        <w:t>The consultation proposes a fundamental rebalancing of SEND funding away from reactive, plan-led spending and towards earlier, mainstream-based, cohort-level investment:</w:t>
      </w:r>
    </w:p>
    <w:p w14:paraId="4084DA82" w14:textId="77777777" w:rsidR="00F63CFC" w:rsidRPr="00F63CFC" w:rsidRDefault="00F63CFC" w:rsidP="00F63CFC">
      <w:pPr>
        <w:rPr>
          <w:sz w:val="22"/>
          <w:szCs w:val="22"/>
        </w:rPr>
      </w:pPr>
    </w:p>
    <w:p w14:paraId="1B6C9DD8" w14:textId="74B3736E" w:rsidR="0009631B" w:rsidRPr="00270606" w:rsidRDefault="001650F8" w:rsidP="00270606">
      <w:pPr>
        <w:pStyle w:val="ListParagraph"/>
        <w:numPr>
          <w:ilvl w:val="0"/>
          <w:numId w:val="3"/>
        </w:numPr>
        <w:rPr>
          <w:sz w:val="22"/>
          <w:szCs w:val="22"/>
        </w:rPr>
      </w:pPr>
      <w:r w:rsidRPr="00270606">
        <w:rPr>
          <w:sz w:val="22"/>
          <w:szCs w:val="22"/>
        </w:rPr>
        <w:t>More funding in mainstream core budgets to plan for predictable need.</w:t>
      </w:r>
    </w:p>
    <w:p w14:paraId="30F021FD" w14:textId="5B747907" w:rsidR="0009631B" w:rsidRPr="00270606" w:rsidRDefault="001650F8" w:rsidP="00270606">
      <w:pPr>
        <w:pStyle w:val="ListParagraph"/>
        <w:numPr>
          <w:ilvl w:val="0"/>
          <w:numId w:val="3"/>
        </w:numPr>
        <w:rPr>
          <w:sz w:val="22"/>
          <w:szCs w:val="22"/>
        </w:rPr>
      </w:pPr>
      <w:r w:rsidRPr="00270606">
        <w:rPr>
          <w:sz w:val="22"/>
          <w:szCs w:val="22"/>
        </w:rPr>
        <w:t>Funded without EHCPs, removing the financial incentive to escalate to statutory plans.</w:t>
      </w:r>
    </w:p>
    <w:p w14:paraId="0754BB6F" w14:textId="5A5A98E7" w:rsidR="0009631B" w:rsidRPr="00270606" w:rsidRDefault="001650F8" w:rsidP="00270606">
      <w:pPr>
        <w:pStyle w:val="ListParagraph"/>
        <w:numPr>
          <w:ilvl w:val="0"/>
          <w:numId w:val="3"/>
        </w:numPr>
        <w:rPr>
          <w:sz w:val="22"/>
          <w:szCs w:val="22"/>
        </w:rPr>
      </w:pPr>
      <w:r w:rsidRPr="00270606">
        <w:rPr>
          <w:sz w:val="22"/>
          <w:szCs w:val="22"/>
        </w:rPr>
        <w:t>Experts at Hand funding enables specialist input without statutory assessment.</w:t>
      </w:r>
    </w:p>
    <w:p w14:paraId="58A7409A" w14:textId="6BDAF3AC" w:rsidR="0009631B" w:rsidRPr="00270606" w:rsidRDefault="001650F8" w:rsidP="00270606">
      <w:pPr>
        <w:pStyle w:val="ListParagraph"/>
        <w:numPr>
          <w:ilvl w:val="0"/>
          <w:numId w:val="3"/>
        </w:numPr>
        <w:rPr>
          <w:sz w:val="22"/>
          <w:szCs w:val="22"/>
        </w:rPr>
      </w:pPr>
      <w:r w:rsidRPr="00270606">
        <w:rPr>
          <w:sz w:val="22"/>
          <w:szCs w:val="22"/>
        </w:rPr>
        <w:t>High</w:t>
      </w:r>
      <w:r w:rsidR="00DC4DDE">
        <w:rPr>
          <w:sz w:val="22"/>
          <w:szCs w:val="22"/>
        </w:rPr>
        <w:t xml:space="preserve"> N</w:t>
      </w:r>
      <w:r w:rsidRPr="00270606">
        <w:rPr>
          <w:sz w:val="22"/>
          <w:szCs w:val="22"/>
        </w:rPr>
        <w:t>eeds funding increasingly reserved for Specialist Provision Packages, improving predictability and value for money.</w:t>
      </w:r>
    </w:p>
    <w:p w14:paraId="23664564" w14:textId="453BF728" w:rsidR="0009631B" w:rsidRPr="00270606" w:rsidRDefault="00270606" w:rsidP="00270606">
      <w:pPr>
        <w:pStyle w:val="ListParagraph"/>
        <w:numPr>
          <w:ilvl w:val="0"/>
          <w:numId w:val="3"/>
        </w:numPr>
        <w:rPr>
          <w:sz w:val="22"/>
          <w:szCs w:val="22"/>
        </w:rPr>
      </w:pPr>
      <w:r w:rsidRPr="00270606">
        <w:rPr>
          <w:sz w:val="22"/>
          <w:szCs w:val="22"/>
        </w:rPr>
        <w:t>Over time, schools are expected to pool a proportion of SEND funding within local groups to share risk and capacity, following a model like the Kirklees Cluster approach.</w:t>
      </w:r>
    </w:p>
    <w:p w14:paraId="23EA1D27" w14:textId="77777777" w:rsidR="00F63CFC" w:rsidRPr="00F63CFC" w:rsidRDefault="00F63CFC" w:rsidP="00270606">
      <w:pPr>
        <w:pStyle w:val="ListParagraph"/>
        <w:ind w:left="720"/>
        <w:rPr>
          <w:sz w:val="22"/>
          <w:szCs w:val="22"/>
        </w:rPr>
      </w:pPr>
    </w:p>
    <w:p w14:paraId="2580C0F5" w14:textId="77777777" w:rsidR="0009631B" w:rsidRDefault="001650F8" w:rsidP="00270606">
      <w:pPr>
        <w:pStyle w:val="Heading2"/>
        <w:spacing w:before="0" w:after="0"/>
        <w:rPr>
          <w:color w:val="auto"/>
          <w:sz w:val="22"/>
          <w:szCs w:val="22"/>
        </w:rPr>
      </w:pPr>
      <w:r w:rsidRPr="00270606">
        <w:rPr>
          <w:color w:val="auto"/>
          <w:sz w:val="22"/>
          <w:szCs w:val="22"/>
        </w:rPr>
        <w:t>What is being consulted on?</w:t>
      </w:r>
    </w:p>
    <w:p w14:paraId="343A96D2" w14:textId="77777777" w:rsidR="00270606" w:rsidRPr="00270606" w:rsidRDefault="00270606" w:rsidP="00270606">
      <w:pPr>
        <w:pStyle w:val="Heading2"/>
        <w:spacing w:before="0" w:after="0"/>
        <w:rPr>
          <w:color w:val="auto"/>
          <w:sz w:val="22"/>
          <w:szCs w:val="22"/>
        </w:rPr>
      </w:pPr>
    </w:p>
    <w:p w14:paraId="5777303F" w14:textId="77777777" w:rsidR="0009631B" w:rsidRPr="00F63CFC" w:rsidRDefault="001650F8" w:rsidP="00270606">
      <w:pPr>
        <w:pStyle w:val="ListParagraph"/>
        <w:numPr>
          <w:ilvl w:val="0"/>
          <w:numId w:val="3"/>
        </w:numPr>
        <w:rPr>
          <w:sz w:val="22"/>
          <w:szCs w:val="22"/>
        </w:rPr>
      </w:pPr>
      <w:r w:rsidRPr="00F63CFC">
        <w:rPr>
          <w:sz w:val="22"/>
          <w:szCs w:val="22"/>
        </w:rPr>
        <w:t>How SEND funding should be rebalanced nationally and locally.</w:t>
      </w:r>
    </w:p>
    <w:p w14:paraId="1282D867" w14:textId="77777777" w:rsidR="0009631B" w:rsidRPr="00F63CFC" w:rsidRDefault="001650F8" w:rsidP="00270606">
      <w:pPr>
        <w:pStyle w:val="ListParagraph"/>
        <w:numPr>
          <w:ilvl w:val="0"/>
          <w:numId w:val="3"/>
        </w:numPr>
        <w:rPr>
          <w:sz w:val="22"/>
          <w:szCs w:val="22"/>
        </w:rPr>
      </w:pPr>
      <w:r w:rsidRPr="00F63CFC">
        <w:rPr>
          <w:sz w:val="22"/>
          <w:szCs w:val="22"/>
        </w:rPr>
        <w:t>How pooled funding should operate.</w:t>
      </w:r>
    </w:p>
    <w:p w14:paraId="40B49008" w14:textId="77777777" w:rsidR="0009631B" w:rsidRPr="00F63CFC" w:rsidRDefault="001650F8" w:rsidP="00270606">
      <w:pPr>
        <w:pStyle w:val="ListParagraph"/>
        <w:numPr>
          <w:ilvl w:val="0"/>
          <w:numId w:val="3"/>
        </w:numPr>
        <w:rPr>
          <w:sz w:val="22"/>
          <w:szCs w:val="22"/>
        </w:rPr>
      </w:pPr>
      <w:r w:rsidRPr="00F63CFC">
        <w:rPr>
          <w:sz w:val="22"/>
          <w:szCs w:val="22"/>
        </w:rPr>
        <w:t>How Inclusive Mainstream Fund spending should be quality-assured.</w:t>
      </w:r>
    </w:p>
    <w:p w14:paraId="6A06479D" w14:textId="77777777" w:rsidR="0009631B" w:rsidRPr="00F63CFC" w:rsidRDefault="001650F8" w:rsidP="00270606">
      <w:pPr>
        <w:pStyle w:val="ListParagraph"/>
        <w:numPr>
          <w:ilvl w:val="0"/>
          <w:numId w:val="3"/>
        </w:numPr>
        <w:rPr>
          <w:sz w:val="22"/>
          <w:szCs w:val="22"/>
        </w:rPr>
      </w:pPr>
      <w:r w:rsidRPr="00F63CFC">
        <w:rPr>
          <w:sz w:val="22"/>
          <w:szCs w:val="22"/>
        </w:rPr>
        <w:t>How funding reform should apply across early years, schools and post-16.</w:t>
      </w:r>
    </w:p>
    <w:p w14:paraId="0DF64188" w14:textId="77777777" w:rsidR="0009631B" w:rsidRPr="00F63CFC" w:rsidRDefault="0009631B" w:rsidP="00F63CFC">
      <w:pPr>
        <w:rPr>
          <w:sz w:val="22"/>
          <w:szCs w:val="22"/>
        </w:rPr>
      </w:pPr>
    </w:p>
    <w:p w14:paraId="22152E7A" w14:textId="77777777" w:rsidR="0012465A" w:rsidRDefault="0012465A" w:rsidP="00270606">
      <w:pPr>
        <w:rPr>
          <w:b/>
          <w:bCs/>
          <w:color w:val="0B769F" w:themeColor="accent4" w:themeShade="BF"/>
          <w:sz w:val="28"/>
          <w:szCs w:val="28"/>
          <w:u w:val="single"/>
        </w:rPr>
      </w:pPr>
    </w:p>
    <w:p w14:paraId="484279E4" w14:textId="77777777" w:rsidR="0012465A" w:rsidRDefault="0012465A" w:rsidP="00270606">
      <w:pPr>
        <w:rPr>
          <w:b/>
          <w:bCs/>
          <w:color w:val="0B769F" w:themeColor="accent4" w:themeShade="BF"/>
          <w:sz w:val="28"/>
          <w:szCs w:val="28"/>
          <w:u w:val="single"/>
        </w:rPr>
      </w:pPr>
    </w:p>
    <w:p w14:paraId="0C33887A" w14:textId="77777777" w:rsidR="0012465A" w:rsidRDefault="0012465A" w:rsidP="00270606">
      <w:pPr>
        <w:rPr>
          <w:b/>
          <w:bCs/>
          <w:color w:val="0B769F" w:themeColor="accent4" w:themeShade="BF"/>
          <w:sz w:val="28"/>
          <w:szCs w:val="28"/>
          <w:u w:val="single"/>
        </w:rPr>
      </w:pPr>
    </w:p>
    <w:p w14:paraId="28C2A14E" w14:textId="77777777" w:rsidR="0012465A" w:rsidRDefault="0012465A" w:rsidP="00270606">
      <w:pPr>
        <w:rPr>
          <w:b/>
          <w:bCs/>
          <w:color w:val="0B769F" w:themeColor="accent4" w:themeShade="BF"/>
          <w:sz w:val="28"/>
          <w:szCs w:val="28"/>
          <w:u w:val="single"/>
        </w:rPr>
      </w:pPr>
    </w:p>
    <w:p w14:paraId="67274687" w14:textId="77777777" w:rsidR="0012465A" w:rsidRDefault="0012465A" w:rsidP="00270606">
      <w:pPr>
        <w:rPr>
          <w:b/>
          <w:bCs/>
          <w:color w:val="0B769F" w:themeColor="accent4" w:themeShade="BF"/>
          <w:sz w:val="28"/>
          <w:szCs w:val="28"/>
          <w:u w:val="single"/>
        </w:rPr>
      </w:pPr>
    </w:p>
    <w:p w14:paraId="3B3CBCAC" w14:textId="4DB30081" w:rsidR="0009631B" w:rsidRDefault="001650F8" w:rsidP="00270606">
      <w:pPr>
        <w:rPr>
          <w:b/>
          <w:bCs/>
          <w:color w:val="0B769F" w:themeColor="accent4" w:themeShade="BF"/>
          <w:sz w:val="28"/>
          <w:szCs w:val="28"/>
          <w:u w:val="single"/>
        </w:rPr>
      </w:pPr>
      <w:r w:rsidRPr="00270606">
        <w:rPr>
          <w:b/>
          <w:bCs/>
          <w:color w:val="0B769F" w:themeColor="accent4" w:themeShade="BF"/>
          <w:sz w:val="28"/>
          <w:szCs w:val="28"/>
          <w:u w:val="single"/>
        </w:rPr>
        <w:lastRenderedPageBreak/>
        <w:t>Accountability, Partnership and System Leadership</w:t>
      </w:r>
    </w:p>
    <w:p w14:paraId="47C0CBB8" w14:textId="77777777" w:rsidR="00270606" w:rsidRPr="00270606" w:rsidRDefault="00270606" w:rsidP="00270606">
      <w:pPr>
        <w:rPr>
          <w:b/>
          <w:bCs/>
          <w:color w:val="0B769F" w:themeColor="accent4" w:themeShade="BF"/>
          <w:sz w:val="28"/>
          <w:szCs w:val="28"/>
          <w:u w:val="single"/>
        </w:rPr>
      </w:pPr>
    </w:p>
    <w:p w14:paraId="241EEA27" w14:textId="77777777" w:rsidR="0009631B" w:rsidRDefault="001650F8" w:rsidP="00270606">
      <w:pPr>
        <w:pStyle w:val="Heading2"/>
        <w:spacing w:before="0" w:after="0"/>
        <w:rPr>
          <w:color w:val="auto"/>
          <w:sz w:val="22"/>
          <w:szCs w:val="22"/>
        </w:rPr>
      </w:pPr>
      <w:r w:rsidRPr="00270606">
        <w:rPr>
          <w:color w:val="auto"/>
          <w:sz w:val="22"/>
          <w:szCs w:val="22"/>
        </w:rPr>
        <w:t>What is being proposed?</w:t>
      </w:r>
    </w:p>
    <w:p w14:paraId="234FDFD3" w14:textId="77777777" w:rsidR="00270606" w:rsidRPr="00270606" w:rsidRDefault="00270606" w:rsidP="00270606">
      <w:pPr>
        <w:pStyle w:val="Heading2"/>
        <w:spacing w:before="0" w:after="0"/>
        <w:rPr>
          <w:color w:val="auto"/>
          <w:sz w:val="22"/>
          <w:szCs w:val="22"/>
        </w:rPr>
      </w:pPr>
    </w:p>
    <w:p w14:paraId="5109A193" w14:textId="77777777" w:rsidR="0009631B" w:rsidRPr="00F63CFC" w:rsidRDefault="001650F8" w:rsidP="00270606">
      <w:pPr>
        <w:pStyle w:val="ListParagraph"/>
        <w:numPr>
          <w:ilvl w:val="0"/>
          <w:numId w:val="3"/>
        </w:numPr>
        <w:rPr>
          <w:sz w:val="22"/>
          <w:szCs w:val="22"/>
        </w:rPr>
      </w:pPr>
      <w:r w:rsidRPr="00F63CFC">
        <w:rPr>
          <w:sz w:val="22"/>
          <w:szCs w:val="22"/>
        </w:rPr>
        <w:t>Stronger statutory duties on settings to deliver inclusive practice.</w:t>
      </w:r>
    </w:p>
    <w:p w14:paraId="79886236" w14:textId="77777777" w:rsidR="0009631B" w:rsidRPr="00F63CFC" w:rsidRDefault="001650F8" w:rsidP="00270606">
      <w:pPr>
        <w:pStyle w:val="ListParagraph"/>
        <w:numPr>
          <w:ilvl w:val="0"/>
          <w:numId w:val="3"/>
        </w:numPr>
        <w:rPr>
          <w:sz w:val="22"/>
          <w:szCs w:val="22"/>
        </w:rPr>
      </w:pPr>
      <w:r w:rsidRPr="00F63CFC">
        <w:rPr>
          <w:sz w:val="22"/>
          <w:szCs w:val="22"/>
        </w:rPr>
        <w:t>Inclusion embedded in Ofsted and CQC inspection frameworks.</w:t>
      </w:r>
    </w:p>
    <w:p w14:paraId="002C9B58" w14:textId="77777777" w:rsidR="0009631B" w:rsidRPr="00F63CFC" w:rsidRDefault="001650F8" w:rsidP="00270606">
      <w:pPr>
        <w:pStyle w:val="ListParagraph"/>
        <w:numPr>
          <w:ilvl w:val="0"/>
          <w:numId w:val="3"/>
        </w:numPr>
        <w:rPr>
          <w:sz w:val="22"/>
          <w:szCs w:val="22"/>
        </w:rPr>
      </w:pPr>
      <w:r w:rsidRPr="00F63CFC">
        <w:rPr>
          <w:sz w:val="22"/>
          <w:szCs w:val="22"/>
        </w:rPr>
        <w:t>Strengthened local SEND partnerships across education, health and local government.</w:t>
      </w:r>
    </w:p>
    <w:p w14:paraId="4A503DD5" w14:textId="77777777" w:rsidR="0009631B" w:rsidRPr="00F63CFC" w:rsidRDefault="001650F8" w:rsidP="00270606">
      <w:pPr>
        <w:pStyle w:val="ListParagraph"/>
        <w:numPr>
          <w:ilvl w:val="0"/>
          <w:numId w:val="3"/>
        </w:numPr>
        <w:rPr>
          <w:sz w:val="22"/>
          <w:szCs w:val="22"/>
        </w:rPr>
      </w:pPr>
      <w:r w:rsidRPr="00F63CFC">
        <w:rPr>
          <w:sz w:val="22"/>
          <w:szCs w:val="22"/>
        </w:rPr>
        <w:t>Improved complaints, mediation and resolution processes to reduce adversarial escalation.</w:t>
      </w:r>
    </w:p>
    <w:p w14:paraId="0360FD6F" w14:textId="77777777" w:rsidR="0009631B" w:rsidRDefault="001650F8" w:rsidP="00270606">
      <w:pPr>
        <w:pStyle w:val="ListParagraph"/>
        <w:numPr>
          <w:ilvl w:val="0"/>
          <w:numId w:val="3"/>
        </w:numPr>
        <w:rPr>
          <w:sz w:val="22"/>
          <w:szCs w:val="22"/>
        </w:rPr>
      </w:pPr>
      <w:r w:rsidRPr="00F63CFC">
        <w:rPr>
          <w:sz w:val="22"/>
          <w:szCs w:val="22"/>
        </w:rPr>
        <w:t>Oversight of reform delivery by the Children's Commissioner.</w:t>
      </w:r>
    </w:p>
    <w:p w14:paraId="233D274E" w14:textId="77777777" w:rsidR="00270606" w:rsidRPr="00F63CFC" w:rsidRDefault="00270606" w:rsidP="00270606">
      <w:pPr>
        <w:pStyle w:val="ListParagraph"/>
        <w:ind w:left="720"/>
        <w:rPr>
          <w:sz w:val="22"/>
          <w:szCs w:val="22"/>
        </w:rPr>
      </w:pPr>
    </w:p>
    <w:p w14:paraId="3AE74026" w14:textId="77777777" w:rsidR="0009631B" w:rsidRDefault="001650F8" w:rsidP="00270606">
      <w:pPr>
        <w:pStyle w:val="Heading2"/>
        <w:spacing w:before="0" w:after="0"/>
        <w:rPr>
          <w:color w:val="auto"/>
          <w:sz w:val="22"/>
          <w:szCs w:val="22"/>
        </w:rPr>
      </w:pPr>
      <w:r w:rsidRPr="00270606">
        <w:rPr>
          <w:color w:val="auto"/>
          <w:sz w:val="22"/>
          <w:szCs w:val="22"/>
        </w:rPr>
        <w:t>What is being consulted on?</w:t>
      </w:r>
    </w:p>
    <w:p w14:paraId="4FEA8273" w14:textId="77777777" w:rsidR="00270606" w:rsidRPr="00270606" w:rsidRDefault="00270606" w:rsidP="00270606">
      <w:pPr>
        <w:pStyle w:val="Heading2"/>
        <w:spacing w:before="0" w:after="0"/>
        <w:rPr>
          <w:color w:val="auto"/>
          <w:sz w:val="22"/>
          <w:szCs w:val="22"/>
        </w:rPr>
      </w:pPr>
    </w:p>
    <w:p w14:paraId="5494CDD1" w14:textId="0106AF3F" w:rsidR="0009631B" w:rsidRPr="00F63CFC" w:rsidRDefault="001650F8" w:rsidP="00270606">
      <w:pPr>
        <w:pStyle w:val="ListParagraph"/>
        <w:numPr>
          <w:ilvl w:val="0"/>
          <w:numId w:val="3"/>
        </w:numPr>
        <w:rPr>
          <w:sz w:val="22"/>
          <w:szCs w:val="22"/>
        </w:rPr>
      </w:pPr>
      <w:r w:rsidRPr="00F63CFC">
        <w:rPr>
          <w:sz w:val="22"/>
          <w:szCs w:val="22"/>
        </w:rPr>
        <w:t xml:space="preserve">How accountability should operate at setting, trust and </w:t>
      </w:r>
      <w:r w:rsidR="0012465A">
        <w:rPr>
          <w:sz w:val="22"/>
          <w:szCs w:val="22"/>
        </w:rPr>
        <w:t xml:space="preserve">local </w:t>
      </w:r>
      <w:r w:rsidRPr="00F63CFC">
        <w:rPr>
          <w:sz w:val="22"/>
          <w:szCs w:val="22"/>
        </w:rPr>
        <w:t>area</w:t>
      </w:r>
      <w:r w:rsidR="0012465A">
        <w:rPr>
          <w:sz w:val="22"/>
          <w:szCs w:val="22"/>
        </w:rPr>
        <w:t xml:space="preserve"> partnership</w:t>
      </w:r>
      <w:r w:rsidRPr="00F63CFC">
        <w:rPr>
          <w:sz w:val="22"/>
          <w:szCs w:val="22"/>
        </w:rPr>
        <w:t xml:space="preserve"> level.</w:t>
      </w:r>
    </w:p>
    <w:p w14:paraId="6BA8A6DC" w14:textId="77777777" w:rsidR="0009631B" w:rsidRPr="00F63CFC" w:rsidRDefault="001650F8" w:rsidP="00270606">
      <w:pPr>
        <w:pStyle w:val="ListParagraph"/>
        <w:numPr>
          <w:ilvl w:val="0"/>
          <w:numId w:val="3"/>
        </w:numPr>
        <w:rPr>
          <w:sz w:val="22"/>
          <w:szCs w:val="22"/>
        </w:rPr>
      </w:pPr>
      <w:r w:rsidRPr="00F63CFC">
        <w:rPr>
          <w:sz w:val="22"/>
          <w:szCs w:val="22"/>
        </w:rPr>
        <w:t>How local SEND partnerships should function and be resourced.</w:t>
      </w:r>
    </w:p>
    <w:p w14:paraId="40164141" w14:textId="77777777" w:rsidR="0009631B" w:rsidRPr="00F63CFC" w:rsidRDefault="001650F8" w:rsidP="00270606">
      <w:pPr>
        <w:pStyle w:val="ListParagraph"/>
        <w:numPr>
          <w:ilvl w:val="0"/>
          <w:numId w:val="3"/>
        </w:numPr>
        <w:rPr>
          <w:sz w:val="22"/>
          <w:szCs w:val="22"/>
        </w:rPr>
      </w:pPr>
      <w:r w:rsidRPr="00F63CFC">
        <w:rPr>
          <w:sz w:val="22"/>
          <w:szCs w:val="22"/>
        </w:rPr>
        <w:t>How disputes should be resolved more quickly and fairly.</w:t>
      </w:r>
    </w:p>
    <w:p w14:paraId="30D233DB" w14:textId="77777777" w:rsidR="0009631B" w:rsidRPr="00F63CFC" w:rsidRDefault="0009631B" w:rsidP="00F63CFC">
      <w:pPr>
        <w:rPr>
          <w:sz w:val="22"/>
          <w:szCs w:val="22"/>
        </w:rPr>
      </w:pPr>
    </w:p>
    <w:p w14:paraId="0B1C18DA" w14:textId="6035F0A5" w:rsidR="0009631B" w:rsidRDefault="001650F8" w:rsidP="00270606">
      <w:pPr>
        <w:rPr>
          <w:b/>
          <w:bCs/>
          <w:color w:val="0B769F" w:themeColor="accent4" w:themeShade="BF"/>
          <w:sz w:val="28"/>
          <w:szCs w:val="28"/>
          <w:u w:val="single"/>
        </w:rPr>
      </w:pPr>
      <w:r w:rsidRPr="00270606">
        <w:rPr>
          <w:b/>
          <w:bCs/>
          <w:color w:val="0B769F" w:themeColor="accent4" w:themeShade="BF"/>
          <w:sz w:val="28"/>
          <w:szCs w:val="28"/>
          <w:u w:val="single"/>
        </w:rPr>
        <w:t xml:space="preserve">Implications for </w:t>
      </w:r>
      <w:r w:rsidR="0012465A">
        <w:rPr>
          <w:b/>
          <w:bCs/>
          <w:color w:val="0B769F" w:themeColor="accent4" w:themeShade="BF"/>
          <w:sz w:val="28"/>
          <w:szCs w:val="28"/>
          <w:u w:val="single"/>
        </w:rPr>
        <w:t xml:space="preserve">the </w:t>
      </w:r>
      <w:r w:rsidR="00270606">
        <w:rPr>
          <w:b/>
          <w:bCs/>
          <w:color w:val="0B769F" w:themeColor="accent4" w:themeShade="BF"/>
          <w:sz w:val="28"/>
          <w:szCs w:val="28"/>
          <w:u w:val="single"/>
        </w:rPr>
        <w:t>Kirklees</w:t>
      </w:r>
      <w:r w:rsidR="0012465A">
        <w:rPr>
          <w:b/>
          <w:bCs/>
          <w:color w:val="0B769F" w:themeColor="accent4" w:themeShade="BF"/>
          <w:sz w:val="28"/>
          <w:szCs w:val="28"/>
          <w:u w:val="single"/>
        </w:rPr>
        <w:t xml:space="preserve"> Local Area Partnership</w:t>
      </w:r>
    </w:p>
    <w:p w14:paraId="24A2B5E7" w14:textId="77777777" w:rsidR="00270606" w:rsidRPr="00270606" w:rsidRDefault="00270606" w:rsidP="00270606">
      <w:pPr>
        <w:rPr>
          <w:b/>
          <w:bCs/>
          <w:color w:val="0B769F" w:themeColor="accent4" w:themeShade="BF"/>
          <w:sz w:val="28"/>
          <w:szCs w:val="28"/>
          <w:u w:val="single"/>
        </w:rPr>
      </w:pPr>
    </w:p>
    <w:p w14:paraId="4FF210D3" w14:textId="525C7811" w:rsidR="0009631B" w:rsidRPr="00F63CFC" w:rsidRDefault="0012465A" w:rsidP="00F63CFC">
      <w:pPr>
        <w:rPr>
          <w:sz w:val="22"/>
          <w:szCs w:val="22"/>
        </w:rPr>
      </w:pPr>
      <w:r>
        <w:rPr>
          <w:sz w:val="22"/>
          <w:szCs w:val="22"/>
        </w:rPr>
        <w:t>The</w:t>
      </w:r>
      <w:r w:rsidRPr="00F63CFC">
        <w:rPr>
          <w:sz w:val="22"/>
          <w:szCs w:val="22"/>
        </w:rPr>
        <w:t xml:space="preserve"> full implications will depend on the outcome of the consultation and subsequent legislation, the proposals have significant implications</w:t>
      </w:r>
      <w:r w:rsidR="00B2250F">
        <w:rPr>
          <w:sz w:val="22"/>
          <w:szCs w:val="22"/>
        </w:rPr>
        <w:t>, these</w:t>
      </w:r>
      <w:r w:rsidRPr="00F63CFC">
        <w:rPr>
          <w:sz w:val="22"/>
          <w:szCs w:val="22"/>
        </w:rPr>
        <w:t xml:space="preserve"> include:</w:t>
      </w:r>
    </w:p>
    <w:p w14:paraId="147C603F" w14:textId="77777777" w:rsidR="0009631B" w:rsidRDefault="0009631B" w:rsidP="00F63CFC">
      <w:pPr>
        <w:rPr>
          <w:sz w:val="22"/>
          <w:szCs w:val="22"/>
        </w:rPr>
      </w:pPr>
    </w:p>
    <w:p w14:paraId="763C8998" w14:textId="48D578B5" w:rsidR="00270606" w:rsidRDefault="00270606" w:rsidP="00270606">
      <w:pPr>
        <w:pStyle w:val="ListParagraph"/>
        <w:numPr>
          <w:ilvl w:val="0"/>
          <w:numId w:val="5"/>
        </w:numPr>
        <w:rPr>
          <w:sz w:val="22"/>
          <w:szCs w:val="22"/>
        </w:rPr>
      </w:pPr>
      <w:r w:rsidRPr="00270606">
        <w:rPr>
          <w:sz w:val="22"/>
          <w:szCs w:val="22"/>
        </w:rPr>
        <w:t xml:space="preserve">Commissioning: LAs will have a central role in commissioning Experts at Hand and capital investment in Inclusion Bases — this will require early planning and partnership with schools and NHS </w:t>
      </w:r>
      <w:proofErr w:type="gramStart"/>
      <w:r w:rsidRPr="00270606">
        <w:rPr>
          <w:sz w:val="22"/>
          <w:szCs w:val="22"/>
        </w:rPr>
        <w:t>partners</w:t>
      </w:r>
      <w:r w:rsidR="00901093">
        <w:rPr>
          <w:sz w:val="22"/>
          <w:szCs w:val="22"/>
        </w:rPr>
        <w:t>, and</w:t>
      </w:r>
      <w:proofErr w:type="gramEnd"/>
      <w:r w:rsidR="00901093">
        <w:rPr>
          <w:sz w:val="22"/>
          <w:szCs w:val="22"/>
        </w:rPr>
        <w:t xml:space="preserve"> be informed by evidence</w:t>
      </w:r>
      <w:r w:rsidRPr="00270606">
        <w:rPr>
          <w:sz w:val="22"/>
          <w:szCs w:val="22"/>
        </w:rPr>
        <w:t>.</w:t>
      </w:r>
    </w:p>
    <w:p w14:paraId="3838981E" w14:textId="77777777" w:rsidR="00270606" w:rsidRPr="00270606" w:rsidRDefault="00270606" w:rsidP="00270606">
      <w:pPr>
        <w:pStyle w:val="ListParagraph"/>
        <w:ind w:left="360"/>
        <w:rPr>
          <w:sz w:val="22"/>
          <w:szCs w:val="22"/>
        </w:rPr>
      </w:pPr>
    </w:p>
    <w:p w14:paraId="0B777D37" w14:textId="5E1B62C7" w:rsidR="00270606" w:rsidRPr="00270606" w:rsidRDefault="00270606" w:rsidP="00270606">
      <w:pPr>
        <w:pStyle w:val="ListParagraph"/>
        <w:numPr>
          <w:ilvl w:val="0"/>
          <w:numId w:val="5"/>
        </w:numPr>
        <w:rPr>
          <w:sz w:val="22"/>
          <w:szCs w:val="22"/>
        </w:rPr>
      </w:pPr>
      <w:r w:rsidRPr="00270606">
        <w:rPr>
          <w:sz w:val="22"/>
          <w:szCs w:val="22"/>
        </w:rPr>
        <w:t xml:space="preserve">Finance: The rebalancing of </w:t>
      </w:r>
      <w:r w:rsidR="00901093">
        <w:rPr>
          <w:sz w:val="22"/>
          <w:szCs w:val="22"/>
        </w:rPr>
        <w:t>H</w:t>
      </w:r>
      <w:r w:rsidRPr="00270606">
        <w:rPr>
          <w:sz w:val="22"/>
          <w:szCs w:val="22"/>
        </w:rPr>
        <w:t>igh</w:t>
      </w:r>
      <w:r w:rsidR="00901093">
        <w:rPr>
          <w:sz w:val="22"/>
          <w:szCs w:val="22"/>
        </w:rPr>
        <w:t xml:space="preserve"> N</w:t>
      </w:r>
      <w:r w:rsidRPr="00270606">
        <w:rPr>
          <w:sz w:val="22"/>
          <w:szCs w:val="22"/>
        </w:rPr>
        <w:t>eeds funding away from reactive EHCP spending will affect local budget modelling. The pooled funding model will require schools to engage in new resource-sharing arrangements</w:t>
      </w:r>
      <w:r w:rsidR="00551525">
        <w:rPr>
          <w:sz w:val="22"/>
          <w:szCs w:val="22"/>
        </w:rPr>
        <w:t>, but our Cluster Communities mean that we have made a good start</w:t>
      </w:r>
      <w:r w:rsidR="00C8784C">
        <w:rPr>
          <w:sz w:val="22"/>
          <w:szCs w:val="22"/>
        </w:rPr>
        <w:t xml:space="preserve"> to work in this way</w:t>
      </w:r>
      <w:r w:rsidRPr="00270606">
        <w:rPr>
          <w:sz w:val="22"/>
          <w:szCs w:val="22"/>
        </w:rPr>
        <w:t>.</w:t>
      </w:r>
    </w:p>
    <w:p w14:paraId="59BFE23A" w14:textId="77777777" w:rsidR="00270606" w:rsidRDefault="00270606" w:rsidP="00270606">
      <w:pPr>
        <w:pStyle w:val="ListParagraph"/>
        <w:ind w:left="360"/>
        <w:rPr>
          <w:sz w:val="22"/>
          <w:szCs w:val="22"/>
        </w:rPr>
      </w:pPr>
    </w:p>
    <w:p w14:paraId="020B572A" w14:textId="1744913F" w:rsidR="00270606" w:rsidRPr="00270606" w:rsidRDefault="00270606" w:rsidP="00270606">
      <w:pPr>
        <w:pStyle w:val="ListParagraph"/>
        <w:numPr>
          <w:ilvl w:val="0"/>
          <w:numId w:val="5"/>
        </w:numPr>
        <w:rPr>
          <w:sz w:val="22"/>
          <w:szCs w:val="22"/>
        </w:rPr>
      </w:pPr>
      <w:r w:rsidRPr="00270606">
        <w:rPr>
          <w:sz w:val="22"/>
          <w:szCs w:val="22"/>
        </w:rPr>
        <w:t xml:space="preserve">EHCPs: No immediate change for existing plan holders, but </w:t>
      </w:r>
      <w:r w:rsidR="00C8784C">
        <w:rPr>
          <w:sz w:val="22"/>
          <w:szCs w:val="22"/>
        </w:rPr>
        <w:t xml:space="preserve">we will need to </w:t>
      </w:r>
      <w:r w:rsidRPr="00270606">
        <w:rPr>
          <w:sz w:val="22"/>
          <w:szCs w:val="22"/>
        </w:rPr>
        <w:t>begin to consider how transition arrangements will be managed from 2029 onwards.</w:t>
      </w:r>
    </w:p>
    <w:p w14:paraId="63BC536B" w14:textId="77777777" w:rsidR="00270606" w:rsidRDefault="00270606" w:rsidP="00270606">
      <w:pPr>
        <w:pStyle w:val="ListParagraph"/>
        <w:ind w:left="360"/>
        <w:rPr>
          <w:sz w:val="22"/>
          <w:szCs w:val="22"/>
        </w:rPr>
      </w:pPr>
    </w:p>
    <w:p w14:paraId="081B91DF" w14:textId="0A4B6992" w:rsidR="00270606" w:rsidRPr="00270606" w:rsidRDefault="00270606" w:rsidP="00270606">
      <w:pPr>
        <w:pStyle w:val="ListParagraph"/>
        <w:numPr>
          <w:ilvl w:val="0"/>
          <w:numId w:val="5"/>
        </w:numPr>
        <w:rPr>
          <w:sz w:val="22"/>
          <w:szCs w:val="22"/>
        </w:rPr>
      </w:pPr>
      <w:r w:rsidRPr="00270606">
        <w:rPr>
          <w:sz w:val="22"/>
          <w:szCs w:val="22"/>
        </w:rPr>
        <w:t>SEND partnerships: Strengthened partnership duties will require closer working between the council, schools, health services and the voluntary sector</w:t>
      </w:r>
      <w:r w:rsidR="004B78BC">
        <w:rPr>
          <w:sz w:val="22"/>
          <w:szCs w:val="22"/>
        </w:rPr>
        <w:t xml:space="preserve"> in partnership with our families</w:t>
      </w:r>
      <w:r w:rsidRPr="00270606">
        <w:rPr>
          <w:sz w:val="22"/>
          <w:szCs w:val="22"/>
        </w:rPr>
        <w:t>.</w:t>
      </w:r>
    </w:p>
    <w:p w14:paraId="0697F74A" w14:textId="77777777" w:rsidR="00270606" w:rsidRDefault="00270606" w:rsidP="00270606">
      <w:pPr>
        <w:pStyle w:val="ListParagraph"/>
        <w:ind w:left="360"/>
        <w:rPr>
          <w:sz w:val="22"/>
          <w:szCs w:val="22"/>
        </w:rPr>
      </w:pPr>
    </w:p>
    <w:p w14:paraId="24B7C08D" w14:textId="0B586DF0" w:rsidR="00270606" w:rsidRPr="00270606" w:rsidRDefault="00270606" w:rsidP="00270606">
      <w:pPr>
        <w:pStyle w:val="ListParagraph"/>
        <w:numPr>
          <w:ilvl w:val="0"/>
          <w:numId w:val="5"/>
        </w:numPr>
        <w:rPr>
          <w:sz w:val="22"/>
          <w:szCs w:val="22"/>
        </w:rPr>
      </w:pPr>
      <w:r w:rsidRPr="00270606">
        <w:rPr>
          <w:sz w:val="22"/>
          <w:szCs w:val="22"/>
        </w:rPr>
        <w:t>Workforce: The emphasis on inclusive practice and the Experts at Hand programme will have workforce development implications.</w:t>
      </w:r>
    </w:p>
    <w:p w14:paraId="217576F6" w14:textId="77777777" w:rsidR="00270606" w:rsidRDefault="00270606" w:rsidP="00270606">
      <w:pPr>
        <w:pStyle w:val="ListParagraph"/>
        <w:ind w:left="360"/>
        <w:rPr>
          <w:sz w:val="22"/>
          <w:szCs w:val="22"/>
        </w:rPr>
      </w:pPr>
    </w:p>
    <w:p w14:paraId="649388E4" w14:textId="5BC901D7" w:rsidR="00270606" w:rsidRPr="00270606" w:rsidRDefault="00270606" w:rsidP="00270606">
      <w:pPr>
        <w:rPr>
          <w:sz w:val="22"/>
          <w:szCs w:val="22"/>
        </w:rPr>
      </w:pPr>
    </w:p>
    <w:sectPr w:rsidR="00270606" w:rsidRPr="00270606">
      <w:footerReference w:type="default" r:id="rId13"/>
      <w:pgSz w:w="11906" w:h="16838"/>
      <w:pgMar w:top="1000" w:right="1080" w:bottom="10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0161" w14:textId="77777777" w:rsidR="001C560B" w:rsidRDefault="001C560B" w:rsidP="002A3EB2">
      <w:r>
        <w:separator/>
      </w:r>
    </w:p>
  </w:endnote>
  <w:endnote w:type="continuationSeparator" w:id="0">
    <w:p w14:paraId="6F0CACDF" w14:textId="77777777" w:rsidR="001C560B" w:rsidRDefault="001C560B" w:rsidP="002A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0917"/>
      <w:docPartObj>
        <w:docPartGallery w:val="Page Numbers (Bottom of Page)"/>
        <w:docPartUnique/>
      </w:docPartObj>
    </w:sdtPr>
    <w:sdtEndPr>
      <w:rPr>
        <w:noProof/>
      </w:rPr>
    </w:sdtEndPr>
    <w:sdtContent>
      <w:p w14:paraId="7078CA95" w14:textId="071D6619" w:rsidR="002A3EB2" w:rsidRDefault="002A3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FDAD7" w14:textId="77777777" w:rsidR="002A3EB2" w:rsidRDefault="002A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006D" w14:textId="77777777" w:rsidR="001C560B" w:rsidRDefault="001C560B" w:rsidP="002A3EB2">
      <w:r>
        <w:separator/>
      </w:r>
    </w:p>
  </w:footnote>
  <w:footnote w:type="continuationSeparator" w:id="0">
    <w:p w14:paraId="1FA947CD" w14:textId="77777777" w:rsidR="001C560B" w:rsidRDefault="001C560B" w:rsidP="002A3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718"/>
    <w:multiLevelType w:val="hybridMultilevel"/>
    <w:tmpl w:val="85A8F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C72ED4"/>
    <w:multiLevelType w:val="hybridMultilevel"/>
    <w:tmpl w:val="89AC2DB4"/>
    <w:lvl w:ilvl="0" w:tplc="C8D428B4">
      <w:start w:val="1"/>
      <w:numFmt w:val="bullet"/>
      <w:lvlText w:val="•"/>
      <w:lvlJc w:val="left"/>
      <w:pPr>
        <w:ind w:left="720" w:hanging="360"/>
      </w:pPr>
    </w:lvl>
    <w:lvl w:ilvl="1" w:tplc="F3CEE8DE">
      <w:numFmt w:val="decimal"/>
      <w:lvlText w:val=""/>
      <w:lvlJc w:val="left"/>
    </w:lvl>
    <w:lvl w:ilvl="2" w:tplc="235003FE">
      <w:numFmt w:val="decimal"/>
      <w:lvlText w:val=""/>
      <w:lvlJc w:val="left"/>
    </w:lvl>
    <w:lvl w:ilvl="3" w:tplc="9560F0A2">
      <w:numFmt w:val="decimal"/>
      <w:lvlText w:val=""/>
      <w:lvlJc w:val="left"/>
    </w:lvl>
    <w:lvl w:ilvl="4" w:tplc="25B26110">
      <w:numFmt w:val="decimal"/>
      <w:lvlText w:val=""/>
      <w:lvlJc w:val="left"/>
    </w:lvl>
    <w:lvl w:ilvl="5" w:tplc="039861B4">
      <w:numFmt w:val="decimal"/>
      <w:lvlText w:val=""/>
      <w:lvlJc w:val="left"/>
    </w:lvl>
    <w:lvl w:ilvl="6" w:tplc="8A008EFC">
      <w:numFmt w:val="decimal"/>
      <w:lvlText w:val=""/>
      <w:lvlJc w:val="left"/>
    </w:lvl>
    <w:lvl w:ilvl="7" w:tplc="C9DA4AE6">
      <w:numFmt w:val="decimal"/>
      <w:lvlText w:val=""/>
      <w:lvlJc w:val="left"/>
    </w:lvl>
    <w:lvl w:ilvl="8" w:tplc="D75A2C68">
      <w:numFmt w:val="decimal"/>
      <w:lvlText w:val=""/>
      <w:lvlJc w:val="left"/>
    </w:lvl>
  </w:abstractNum>
  <w:abstractNum w:abstractNumId="2" w15:restartNumberingAfterBreak="0">
    <w:nsid w:val="451568F7"/>
    <w:multiLevelType w:val="hybridMultilevel"/>
    <w:tmpl w:val="4D9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D002F"/>
    <w:multiLevelType w:val="hybridMultilevel"/>
    <w:tmpl w:val="5E94D55C"/>
    <w:lvl w:ilvl="0" w:tplc="E5347FFA">
      <w:start w:val="1"/>
      <w:numFmt w:val="bullet"/>
      <w:lvlText w:val="–"/>
      <w:lvlJc w:val="left"/>
      <w:pPr>
        <w:ind w:left="1080" w:hanging="360"/>
      </w:pPr>
    </w:lvl>
    <w:lvl w:ilvl="1" w:tplc="1EF278F0">
      <w:numFmt w:val="decimal"/>
      <w:lvlText w:val=""/>
      <w:lvlJc w:val="left"/>
    </w:lvl>
    <w:lvl w:ilvl="2" w:tplc="1A6882C6">
      <w:numFmt w:val="decimal"/>
      <w:lvlText w:val=""/>
      <w:lvlJc w:val="left"/>
    </w:lvl>
    <w:lvl w:ilvl="3" w:tplc="499C4C8C">
      <w:numFmt w:val="decimal"/>
      <w:lvlText w:val=""/>
      <w:lvlJc w:val="left"/>
    </w:lvl>
    <w:lvl w:ilvl="4" w:tplc="1E32E8A2">
      <w:numFmt w:val="decimal"/>
      <w:lvlText w:val=""/>
      <w:lvlJc w:val="left"/>
    </w:lvl>
    <w:lvl w:ilvl="5" w:tplc="476A112E">
      <w:numFmt w:val="decimal"/>
      <w:lvlText w:val=""/>
      <w:lvlJc w:val="left"/>
    </w:lvl>
    <w:lvl w:ilvl="6" w:tplc="7CEA87DA">
      <w:numFmt w:val="decimal"/>
      <w:lvlText w:val=""/>
      <w:lvlJc w:val="left"/>
    </w:lvl>
    <w:lvl w:ilvl="7" w:tplc="5C64D00C">
      <w:numFmt w:val="decimal"/>
      <w:lvlText w:val=""/>
      <w:lvlJc w:val="left"/>
    </w:lvl>
    <w:lvl w:ilvl="8" w:tplc="F57C1FB0">
      <w:numFmt w:val="decimal"/>
      <w:lvlText w:val=""/>
      <w:lvlJc w:val="left"/>
    </w:lvl>
  </w:abstractNum>
  <w:abstractNum w:abstractNumId="4" w15:restartNumberingAfterBreak="0">
    <w:nsid w:val="546975D6"/>
    <w:multiLevelType w:val="hybridMultilevel"/>
    <w:tmpl w:val="2132FFD8"/>
    <w:lvl w:ilvl="0" w:tplc="8DA0BED8">
      <w:start w:val="1"/>
      <w:numFmt w:val="bullet"/>
      <w:lvlText w:val="●"/>
      <w:lvlJc w:val="left"/>
      <w:pPr>
        <w:ind w:left="720" w:hanging="360"/>
      </w:pPr>
    </w:lvl>
    <w:lvl w:ilvl="1" w:tplc="E548B776">
      <w:start w:val="1"/>
      <w:numFmt w:val="bullet"/>
      <w:lvlText w:val="○"/>
      <w:lvlJc w:val="left"/>
      <w:pPr>
        <w:ind w:left="1440" w:hanging="360"/>
      </w:pPr>
    </w:lvl>
    <w:lvl w:ilvl="2" w:tplc="D5001088">
      <w:start w:val="1"/>
      <w:numFmt w:val="bullet"/>
      <w:lvlText w:val="■"/>
      <w:lvlJc w:val="left"/>
      <w:pPr>
        <w:ind w:left="2160" w:hanging="360"/>
      </w:pPr>
    </w:lvl>
    <w:lvl w:ilvl="3" w:tplc="9ED84ECA">
      <w:start w:val="1"/>
      <w:numFmt w:val="bullet"/>
      <w:lvlText w:val="●"/>
      <w:lvlJc w:val="left"/>
      <w:pPr>
        <w:ind w:left="2880" w:hanging="360"/>
      </w:pPr>
    </w:lvl>
    <w:lvl w:ilvl="4" w:tplc="F7562D16">
      <w:start w:val="1"/>
      <w:numFmt w:val="bullet"/>
      <w:lvlText w:val="○"/>
      <w:lvlJc w:val="left"/>
      <w:pPr>
        <w:ind w:left="3600" w:hanging="360"/>
      </w:pPr>
    </w:lvl>
    <w:lvl w:ilvl="5" w:tplc="219CD2BC">
      <w:start w:val="1"/>
      <w:numFmt w:val="bullet"/>
      <w:lvlText w:val="■"/>
      <w:lvlJc w:val="left"/>
      <w:pPr>
        <w:ind w:left="4320" w:hanging="360"/>
      </w:pPr>
    </w:lvl>
    <w:lvl w:ilvl="6" w:tplc="EE944952">
      <w:start w:val="1"/>
      <w:numFmt w:val="bullet"/>
      <w:lvlText w:val="●"/>
      <w:lvlJc w:val="left"/>
      <w:pPr>
        <w:ind w:left="5040" w:hanging="360"/>
      </w:pPr>
    </w:lvl>
    <w:lvl w:ilvl="7" w:tplc="275C5D68">
      <w:start w:val="1"/>
      <w:numFmt w:val="bullet"/>
      <w:lvlText w:val="●"/>
      <w:lvlJc w:val="left"/>
      <w:pPr>
        <w:ind w:left="5760" w:hanging="360"/>
      </w:pPr>
    </w:lvl>
    <w:lvl w:ilvl="8" w:tplc="B1CA2304">
      <w:start w:val="1"/>
      <w:numFmt w:val="bullet"/>
      <w:lvlText w:val="●"/>
      <w:lvlJc w:val="left"/>
      <w:pPr>
        <w:ind w:left="6480" w:hanging="360"/>
      </w:pPr>
    </w:lvl>
  </w:abstractNum>
  <w:abstractNum w:abstractNumId="5" w15:restartNumberingAfterBreak="0">
    <w:nsid w:val="75E82432"/>
    <w:multiLevelType w:val="hybridMultilevel"/>
    <w:tmpl w:val="A144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0941909">
    <w:abstractNumId w:val="4"/>
    <w:lvlOverride w:ilvl="0">
      <w:startOverride w:val="1"/>
    </w:lvlOverride>
  </w:num>
  <w:num w:numId="2" w16cid:durableId="867373209">
    <w:abstractNumId w:val="1"/>
    <w:lvlOverride w:ilvl="0">
      <w:startOverride w:val="1"/>
    </w:lvlOverride>
  </w:num>
  <w:num w:numId="3" w16cid:durableId="1316494807">
    <w:abstractNumId w:val="5"/>
  </w:num>
  <w:num w:numId="4" w16cid:durableId="814180053">
    <w:abstractNumId w:val="2"/>
  </w:num>
  <w:num w:numId="5" w16cid:durableId="122120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1B"/>
    <w:rsid w:val="00002023"/>
    <w:rsid w:val="000151CE"/>
    <w:rsid w:val="0009631B"/>
    <w:rsid w:val="000C4277"/>
    <w:rsid w:val="00123E48"/>
    <w:rsid w:val="0012465A"/>
    <w:rsid w:val="00156D5B"/>
    <w:rsid w:val="001650F8"/>
    <w:rsid w:val="001B0A3E"/>
    <w:rsid w:val="001C560B"/>
    <w:rsid w:val="001D37A2"/>
    <w:rsid w:val="00211A05"/>
    <w:rsid w:val="00270606"/>
    <w:rsid w:val="002A3EB2"/>
    <w:rsid w:val="00313E90"/>
    <w:rsid w:val="0038047B"/>
    <w:rsid w:val="003E0F2B"/>
    <w:rsid w:val="004B758A"/>
    <w:rsid w:val="004B78BC"/>
    <w:rsid w:val="004F2F86"/>
    <w:rsid w:val="00551525"/>
    <w:rsid w:val="005B78DF"/>
    <w:rsid w:val="005C181F"/>
    <w:rsid w:val="00614971"/>
    <w:rsid w:val="006C5FB4"/>
    <w:rsid w:val="006E11FF"/>
    <w:rsid w:val="006E34D7"/>
    <w:rsid w:val="00720C48"/>
    <w:rsid w:val="0076339C"/>
    <w:rsid w:val="00774EB5"/>
    <w:rsid w:val="0079361A"/>
    <w:rsid w:val="007C1F27"/>
    <w:rsid w:val="007E35DD"/>
    <w:rsid w:val="008B5104"/>
    <w:rsid w:val="008E70C8"/>
    <w:rsid w:val="00901093"/>
    <w:rsid w:val="00903B6F"/>
    <w:rsid w:val="00925124"/>
    <w:rsid w:val="009A0E74"/>
    <w:rsid w:val="009B0BF9"/>
    <w:rsid w:val="009D6CB2"/>
    <w:rsid w:val="009F4B98"/>
    <w:rsid w:val="00A12988"/>
    <w:rsid w:val="00A14D1A"/>
    <w:rsid w:val="00AB1BD8"/>
    <w:rsid w:val="00AE7519"/>
    <w:rsid w:val="00B2250F"/>
    <w:rsid w:val="00B66AE1"/>
    <w:rsid w:val="00B85D08"/>
    <w:rsid w:val="00B95476"/>
    <w:rsid w:val="00BA0694"/>
    <w:rsid w:val="00BE623F"/>
    <w:rsid w:val="00C00EBA"/>
    <w:rsid w:val="00C315DD"/>
    <w:rsid w:val="00C530D9"/>
    <w:rsid w:val="00C8784C"/>
    <w:rsid w:val="00CD01FA"/>
    <w:rsid w:val="00D2159F"/>
    <w:rsid w:val="00D434B6"/>
    <w:rsid w:val="00DC4DDE"/>
    <w:rsid w:val="00E0758B"/>
    <w:rsid w:val="00E132A8"/>
    <w:rsid w:val="00ED6F9B"/>
    <w:rsid w:val="00EE2BB7"/>
    <w:rsid w:val="00F02DF5"/>
    <w:rsid w:val="00F16738"/>
    <w:rsid w:val="00F63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BD79"/>
  <w15:docId w15:val="{DCEA499A-67AF-486A-9C17-3EF7AC1D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FFFFFF"/>
      <w:sz w:val="28"/>
      <w:szCs w:val="28"/>
    </w:rPr>
  </w:style>
  <w:style w:type="paragraph" w:styleId="Heading2">
    <w:name w:val="heading 2"/>
    <w:uiPriority w:val="9"/>
    <w:unhideWhenUsed/>
    <w:qFormat/>
    <w:pPr>
      <w:spacing w:before="240" w:after="80"/>
      <w:outlineLvl w:val="1"/>
    </w:pPr>
    <w:rPr>
      <w:b/>
      <w:bCs/>
      <w:color w:val="1F4E79"/>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E34D7"/>
    <w:rPr>
      <w:color w:val="605E5C"/>
      <w:shd w:val="clear" w:color="auto" w:fill="E1DFDD"/>
    </w:rPr>
  </w:style>
  <w:style w:type="paragraph" w:styleId="Header">
    <w:name w:val="header"/>
    <w:basedOn w:val="Normal"/>
    <w:link w:val="HeaderChar"/>
    <w:uiPriority w:val="99"/>
    <w:unhideWhenUsed/>
    <w:rsid w:val="002A3EB2"/>
    <w:pPr>
      <w:tabs>
        <w:tab w:val="center" w:pos="4513"/>
        <w:tab w:val="right" w:pos="9026"/>
      </w:tabs>
    </w:pPr>
  </w:style>
  <w:style w:type="character" w:customStyle="1" w:styleId="HeaderChar">
    <w:name w:val="Header Char"/>
    <w:basedOn w:val="DefaultParagraphFont"/>
    <w:link w:val="Header"/>
    <w:uiPriority w:val="99"/>
    <w:rsid w:val="002A3EB2"/>
  </w:style>
  <w:style w:type="paragraph" w:styleId="Footer">
    <w:name w:val="footer"/>
    <w:basedOn w:val="Normal"/>
    <w:link w:val="FooterChar"/>
    <w:uiPriority w:val="99"/>
    <w:unhideWhenUsed/>
    <w:rsid w:val="002A3EB2"/>
    <w:pPr>
      <w:tabs>
        <w:tab w:val="center" w:pos="4513"/>
        <w:tab w:val="right" w:pos="9026"/>
      </w:tabs>
    </w:pPr>
  </w:style>
  <w:style w:type="character" w:customStyle="1" w:styleId="FooterChar">
    <w:name w:val="Footer Char"/>
    <w:basedOn w:val="DefaultParagraphFont"/>
    <w:link w:val="Footer"/>
    <w:uiPriority w:val="99"/>
    <w:rsid w:val="002A3EB2"/>
  </w:style>
  <w:style w:type="character" w:styleId="FollowedHyperlink">
    <w:name w:val="FollowedHyperlink"/>
    <w:basedOn w:val="DefaultParagraphFont"/>
    <w:uiPriority w:val="99"/>
    <w:semiHidden/>
    <w:unhideWhenUsed/>
    <w:rsid w:val="000151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nsultations/send-reform-putting-children-and-young-people-fir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69986472bfdab2546272c074/SEND_reform_putting_children_and_young_people_first_government_consultation_web_accessib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921B40A8134885CBF2FD245AA4FC" ma:contentTypeVersion="3" ma:contentTypeDescription="Create a new document." ma:contentTypeScope="" ma:versionID="83e6b06dd6aa94c727b8c8555cf61c42">
  <xsd:schema xmlns:xsd="http://www.w3.org/2001/XMLSchema" xmlns:xs="http://www.w3.org/2001/XMLSchema" xmlns:p="http://schemas.microsoft.com/office/2006/metadata/properties" xmlns:ns2="1987dd34-db12-4d18-9c10-9955a31770d6" targetNamespace="http://schemas.microsoft.com/office/2006/metadata/properties" ma:root="true" ma:fieldsID="a94ba305d3ae787bceb8bae26095f6c5" ns2:_="">
    <xsd:import namespace="1987dd34-db12-4d18-9c10-9955a31770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7dd34-db12-4d18-9c10-9955a317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EA19B-05C0-46E6-B094-44FBDBA71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C8A93-0FF5-4EFC-94A7-245E28871C77}">
  <ds:schemaRefs>
    <ds:schemaRef ds:uri="http://schemas.microsoft.com/sharepoint/v3/contenttype/forms"/>
  </ds:schemaRefs>
</ds:datastoreItem>
</file>

<file path=customXml/itemProps3.xml><?xml version="1.0" encoding="utf-8"?>
<ds:datastoreItem xmlns:ds="http://schemas.openxmlformats.org/officeDocument/2006/customXml" ds:itemID="{6869CD88-9DD3-4775-A6F8-DE7C0B52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7dd34-db12-4d18-9c10-9955a3177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1786</Words>
  <Characters>10757</Characters>
  <Application>Microsoft Office Word</Application>
  <DocSecurity>0</DocSecurity>
  <Lines>316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Laura Hardcastle</cp:lastModifiedBy>
  <cp:revision>2</cp:revision>
  <dcterms:created xsi:type="dcterms:W3CDTF">2026-03-30T10:04:00Z</dcterms:created>
  <dcterms:modified xsi:type="dcterms:W3CDTF">2026-03-30T10:04:00Z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2026-02-24T12:32:40Z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da3873f5-e1c6-4e61-a79c-19ebcd367c03</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y fmtid="{D5CDD505-2E9C-101B-9397-08002B2CF9AE}" pid="10" name="ContentTypeId">
    <vt:lpwstr>0x01010018D0921B40A8134885CBF2FD245AA4FC</vt:lpwstr>
  </property>
  <property fmtid="{D5CDD505-2E9C-101B-9397-08002B2CF9AE}" pid="11" name="docLang">
    <vt:lpwstr>en</vt:lpwstr>
  </property>
</Properties>
</file>